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18DF0842" w:rsidR="008A0DBB" w:rsidRDefault="00943F70">
      <w:pPr>
        <w:spacing w:line="276" w:lineRule="auto"/>
        <w:ind w:left="2627" w:right="2628"/>
        <w:jc w:val="center"/>
        <w:rPr>
          <w:b/>
          <w:sz w:val="32"/>
          <w:szCs w:val="32"/>
        </w:rPr>
      </w:pPr>
      <w:r>
        <w:rPr>
          <w:b/>
          <w:sz w:val="32"/>
          <w:szCs w:val="32"/>
        </w:rPr>
        <w:t xml:space="preserve">REGIÓN </w:t>
      </w:r>
      <w:r w:rsidR="008A04E7">
        <w:rPr>
          <w:b/>
          <w:sz w:val="32"/>
          <w:szCs w:val="32"/>
        </w:rPr>
        <w:t>DE ÑUBLE</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1B3659C6">
                <wp:simplePos x="0" y="0"/>
                <wp:positionH relativeFrom="margin">
                  <wp:align>left</wp:align>
                </wp:positionH>
                <wp:positionV relativeFrom="paragraph">
                  <wp:posOffset>950595</wp:posOffset>
                </wp:positionV>
                <wp:extent cx="5600700" cy="1205865"/>
                <wp:effectExtent l="0" t="0" r="19050" b="13335"/>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20586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1B5333EE" w:rsidR="00412602" w:rsidRDefault="00412602" w:rsidP="00221F8C">
                            <w:pPr>
                              <w:spacing w:line="258" w:lineRule="auto"/>
                              <w:textDirection w:val="btLr"/>
                              <w:rPr>
                                <w:color w:val="000000"/>
                              </w:rPr>
                            </w:pPr>
                            <w:r>
                              <w:rPr>
                                <w:b/>
                                <w:color w:val="000000"/>
                              </w:rPr>
                              <w:t>NOTA</w:t>
                            </w:r>
                            <w:r w:rsidR="001E68A3">
                              <w:rPr>
                                <w:b/>
                                <w:color w:val="000000"/>
                              </w:rPr>
                              <w:t>:</w:t>
                            </w:r>
                          </w:p>
                          <w:p w14:paraId="2A4D507F" w14:textId="28770024" w:rsidR="00412602" w:rsidRDefault="00412602" w:rsidP="00221F8C">
                            <w:pPr>
                              <w:spacing w:line="258" w:lineRule="auto"/>
                              <w:textDirection w:val="btLr"/>
                            </w:pPr>
                            <w:r>
                              <w:rPr>
                                <w:color w:val="000000"/>
                              </w:rPr>
                              <w:t>Se excluye a aquellas organizaciones que hayan sido beneficiadas en los programas Fortalecimiento Gremial y Cooperativo</w:t>
                            </w:r>
                            <w:r w:rsidR="00D35C7E">
                              <w:rPr>
                                <w:color w:val="000000"/>
                              </w:rPr>
                              <w:t>,</w:t>
                            </w:r>
                            <w:r>
                              <w:rPr>
                                <w:color w:val="000000"/>
                              </w:rPr>
                              <w:t xml:space="preserve"> </w:t>
                            </w:r>
                            <w:r w:rsidR="00D35C7E">
                              <w:rPr>
                                <w:color w:val="000000"/>
                              </w:rPr>
                              <w:t xml:space="preserve">en la línea de fortalecimiento, </w:t>
                            </w:r>
                            <w:r>
                              <w:rPr>
                                <w:color w:val="000000"/>
                              </w:rPr>
                              <w:t>del</w:t>
                            </w:r>
                            <w:r w:rsidR="00D35C7E">
                              <w:rPr>
                                <w:color w:val="000000"/>
                              </w:rPr>
                              <w:t xml:space="preserve"> año</w:t>
                            </w:r>
                            <w:r>
                              <w:rPr>
                                <w:color w:val="000000"/>
                              </w:rPr>
                              <w:t xml:space="preserve"> 20</w:t>
                            </w:r>
                            <w:r w:rsidR="00D35C7E">
                              <w:rPr>
                                <w:color w:val="000000"/>
                              </w:rPr>
                              <w:t>22</w:t>
                            </w:r>
                            <w:r>
                              <w:rPr>
                                <w:color w:val="000000"/>
                              </w:rPr>
                              <w:t>, el programa Fortalecimiento de Cooperativas y Asociaciones Gremiales Chile Apoya 2022</w:t>
                            </w:r>
                            <w:r w:rsidR="00D35C7E">
                              <w:rPr>
                                <w:color w:val="000000"/>
                              </w:rPr>
                              <w:t xml:space="preserve"> y el programa Fortalecimiento de Barrios Comerciales</w:t>
                            </w:r>
                            <w:r w:rsidR="00E17023">
                              <w:rPr>
                                <w:color w:val="000000"/>
                              </w:rPr>
                              <w:t xml:space="preserve"> 2022</w:t>
                            </w:r>
                            <w:r>
                              <w:rPr>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margin-top:74.85pt;width:441pt;height:94.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" fillcolor="#c4e0b2" strokeweight="1pt">
                <v:stroke startarrowwidth="narrow" startarrowlength="short" endarrowwidth="narrow" endarrowlength="short"/>
                <v:textbox inset="2.53958mm,1.2694mm,2.53958mm,1.2694mm">
                  <w:txbxContent>
                    <w:p w14:paraId="33965BD2" w14:textId="1B5333EE" w:rsidR="00412602" w:rsidRDefault="00412602" w:rsidP="00221F8C">
                      <w:pPr>
                        <w:spacing w:line="258" w:lineRule="auto"/>
                        <w:textDirection w:val="btLr"/>
                        <w:rPr>
                          <w:color w:val="000000"/>
                        </w:rPr>
                      </w:pPr>
                      <w:r>
                        <w:rPr>
                          <w:b/>
                          <w:color w:val="000000"/>
                        </w:rPr>
                        <w:t>NOTA</w:t>
                      </w:r>
                      <w:r w:rsidR="001E68A3">
                        <w:rPr>
                          <w:b/>
                          <w:color w:val="000000"/>
                        </w:rPr>
                        <w:t>:</w:t>
                      </w:r>
                    </w:p>
                    <w:p w14:paraId="2A4D507F" w14:textId="28770024" w:rsidR="00412602" w:rsidRDefault="00412602" w:rsidP="00221F8C">
                      <w:pPr>
                        <w:spacing w:line="258" w:lineRule="auto"/>
                        <w:textDirection w:val="btLr"/>
                      </w:pPr>
                      <w:r>
                        <w:rPr>
                          <w:color w:val="000000"/>
                        </w:rPr>
                        <w:t>Se excluye a aquellas organizaciones que hayan sido beneficiadas en los programas Fortalecimiento Gremial y Cooperativo</w:t>
                      </w:r>
                      <w:r w:rsidR="00D35C7E">
                        <w:rPr>
                          <w:color w:val="000000"/>
                        </w:rPr>
                        <w:t>,</w:t>
                      </w:r>
                      <w:r>
                        <w:rPr>
                          <w:color w:val="000000"/>
                        </w:rPr>
                        <w:t xml:space="preserve"> </w:t>
                      </w:r>
                      <w:r w:rsidR="00D35C7E">
                        <w:rPr>
                          <w:color w:val="000000"/>
                        </w:rPr>
                        <w:t xml:space="preserve">en la línea de fortalecimiento, </w:t>
                      </w:r>
                      <w:r>
                        <w:rPr>
                          <w:color w:val="000000"/>
                        </w:rPr>
                        <w:t>del</w:t>
                      </w:r>
                      <w:r w:rsidR="00D35C7E">
                        <w:rPr>
                          <w:color w:val="000000"/>
                        </w:rPr>
                        <w:t xml:space="preserve"> año</w:t>
                      </w:r>
                      <w:r>
                        <w:rPr>
                          <w:color w:val="000000"/>
                        </w:rPr>
                        <w:t xml:space="preserve"> 20</w:t>
                      </w:r>
                      <w:r w:rsidR="00D35C7E">
                        <w:rPr>
                          <w:color w:val="000000"/>
                        </w:rPr>
                        <w:t>22</w:t>
                      </w:r>
                      <w:r>
                        <w:rPr>
                          <w:color w:val="000000"/>
                        </w:rPr>
                        <w:t>, el programa Fortalecimiento de Cooperativas y Asociaciones Gremiales Chile Apoya 2022</w:t>
                      </w:r>
                      <w:r w:rsidR="00D35C7E">
                        <w:rPr>
                          <w:color w:val="000000"/>
                        </w:rPr>
                        <w:t xml:space="preserve"> y el programa Fortalecimiento de Barrios Comerciales</w:t>
                      </w:r>
                      <w:r w:rsidR="00E17023">
                        <w:rPr>
                          <w:color w:val="000000"/>
                        </w:rPr>
                        <w:t xml:space="preserve"> 2022</w:t>
                      </w:r>
                      <w:r>
                        <w:rPr>
                          <w:color w:val="000000"/>
                        </w:rPr>
                        <w:t>.</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2944"/>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45D0F176" w14:textId="7BCC13AE" w:rsidR="00FE39E0" w:rsidRDefault="00FE39E0" w:rsidP="00FE39E0">
            <w:pPr>
              <w:jc w:val="right"/>
            </w:pPr>
            <w:r w:rsidRPr="00FE39E0">
              <w:t>4</w:t>
            </w:r>
            <w:r>
              <w:t xml:space="preserve"> </w:t>
            </w:r>
            <w:r w:rsidRPr="00FE39E0">
              <w:t>2222 1930</w:t>
            </w:r>
          </w:p>
          <w:p w14:paraId="344F31D7" w14:textId="5F1BF5EA" w:rsidR="00B85A26" w:rsidRDefault="00FE39E0" w:rsidP="00FE39E0">
            <w:pPr>
              <w:jc w:val="right"/>
            </w:pPr>
            <w:r w:rsidRPr="00FE39E0">
              <w:t>9</w:t>
            </w:r>
            <w:r>
              <w:t xml:space="preserve"> </w:t>
            </w:r>
            <w:r w:rsidRPr="00FE39E0">
              <w:t>9895 8051</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1BA9D3EA" w:rsidR="00B85A26" w:rsidRDefault="00FE39E0" w:rsidP="00596F10">
            <w:pPr>
              <w:jc w:val="right"/>
            </w:pPr>
            <w:r w:rsidRPr="00FE39E0">
              <w:t>mipechillan@sercotec.cl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492D3644" w:rsidR="00B85A26" w:rsidRDefault="008A04E7" w:rsidP="008A04E7">
            <w:pPr>
              <w:jc w:val="right"/>
            </w:pPr>
            <w:r w:rsidRPr="008A04E7">
              <w:t>Yerbas Buenas 735, Chillán</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03F61DEC" w:rsidR="00B37E3C" w:rsidRPr="002C6DC8" w:rsidRDefault="00B37E3C" w:rsidP="00990526">
      <w:pPr>
        <w:pStyle w:val="Sinespaciado"/>
        <w:numPr>
          <w:ilvl w:val="0"/>
          <w:numId w:val="48"/>
        </w:numPr>
      </w:pPr>
      <w:r w:rsidRPr="002C6DC8">
        <w:t>De lunes a jueves</w:t>
      </w:r>
      <w:r>
        <w:t xml:space="preserve"> desde las 8:30 - 13:</w:t>
      </w:r>
      <w:r w:rsidR="00D1755B">
        <w:t>0</w:t>
      </w:r>
      <w:r w:rsidRPr="002C6DC8">
        <w:t>0 hrs y de 14:30 – 18:00 hrs.</w:t>
      </w:r>
    </w:p>
    <w:p w14:paraId="79DA140E" w14:textId="0EEAEFFC" w:rsidR="004C146C" w:rsidRPr="002C6DC8" w:rsidRDefault="00B37E3C" w:rsidP="00990526">
      <w:pPr>
        <w:pStyle w:val="Sinespaciado"/>
        <w:numPr>
          <w:ilvl w:val="0"/>
          <w:numId w:val="48"/>
        </w:numPr>
      </w:pPr>
      <w:r>
        <w:t>Viernes desde las 8:30 - 13:</w:t>
      </w:r>
      <w:r w:rsidR="00D1755B">
        <w:t>0</w:t>
      </w:r>
      <w:r w:rsidRPr="002C6DC8">
        <w:t>0 hrs y de 14:30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0E7E24DA"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8A04E7">
        <w:rPr>
          <w:rFonts w:asciiTheme="minorHAnsi" w:hAnsiTheme="minorHAnsi" w:cstheme="minorHAnsi"/>
          <w:b/>
          <w:sz w:val="32"/>
          <w:szCs w:val="32"/>
        </w:rPr>
        <w:t>DE ÑUBLE</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E68A3"/>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4E7"/>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5C7E"/>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17023"/>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E39E0"/>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9940</Words>
  <Characters>54674</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30</cp:revision>
  <dcterms:created xsi:type="dcterms:W3CDTF">2023-03-27T20:20:00Z</dcterms:created>
  <dcterms:modified xsi:type="dcterms:W3CDTF">2023-03-28T14:58:00Z</dcterms:modified>
</cp:coreProperties>
</file>