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1236892D" w:rsidR="008A0DBB" w:rsidRDefault="00943F70">
      <w:pPr>
        <w:spacing w:line="276" w:lineRule="auto"/>
        <w:ind w:left="2627" w:right="2628"/>
        <w:jc w:val="center"/>
        <w:rPr>
          <w:b/>
          <w:sz w:val="32"/>
          <w:szCs w:val="32"/>
        </w:rPr>
      </w:pPr>
      <w:r>
        <w:rPr>
          <w:b/>
          <w:sz w:val="32"/>
          <w:szCs w:val="32"/>
        </w:rPr>
        <w:t xml:space="preserve">REGIÓN </w:t>
      </w:r>
      <w:r w:rsidR="00A22674">
        <w:rPr>
          <w:b/>
          <w:sz w:val="32"/>
          <w:szCs w:val="32"/>
        </w:rPr>
        <w:t>DE TARAPACÁ</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N°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N°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Si una vez vencido el plazo de postulación, la Dirección Regional detecta que la organización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CUADRO N°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Cobertura del proyecto en función del número de asociados o integrantes de la organización; % de socios que participan del proyecto en relación al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de las Cooperativas y Asociaciones gremiales que pasen a esta etapa será realizada por el Comité de Evaluación Regional CER, de acuerdo a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r>
              <w:rPr>
                <w:rFonts w:ascii="Calibri" w:eastAsia="Calibri" w:hAnsi="Calibri" w:cs="Calibri"/>
              </w:rPr>
              <w:t>Los objetivos y actividades a financiar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agroelaborados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En relación a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N°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Consanguinidad, Anexo N°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w:t>
      </w:r>
      <w:r>
        <w:t>ado en Anexo N°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istado de integrantes del proyecto, de acuerdo a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000000">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000000">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Documento de vigencia entregado por la dirección del trabajo, además del certificado de Sernapesca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El Proyecto debe ser presentado en tiempo y forma, acompañando todos los antecedentes requeridos en el Anexo N°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Anexo N°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rFonts w:ascii="Calibri" w:eastAsia="Calibri" w:hAnsi="Calibri" w:cs="Calibri"/>
                <w:vertAlign w:val="superscript"/>
              </w:rPr>
              <w:footnoteReference w:id="6"/>
            </w:r>
            <w:r>
              <w:rPr>
                <w:rFonts w:ascii="Calibri" w:eastAsia="Calibri" w:hAnsi="Calibri" w:cs="Calibri"/>
              </w:rP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En los casos de que el inmueble sea parte de una comunidad se requerirá autorización notarial del/ o los comunero/s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Anexo N°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En el caso que se rindan gastos en este ítem, se deberá incorporar la declaración jurada de no consanguinidad disponible en el Anexo N°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Recambio de envases, insumos y artículos para delivery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Ver Anexo N°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estudios de factibilidad para implementación de proyectos de energías renovables para autoconsumo, sean estos proyectos para generación eléctrica y/o térmica. El proveedor del servicio debe entregar un informe del mismo.</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MiPyMEs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En___________, a _______ de ________________________ de 2022, la Organización/Agrupación ________________________, representada a su vez por los/as  señor/as: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En___________, a _______de__________________ de 2022 Don/ña  _____________________, cédula nacional de identidad nº______________,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N°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N°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N°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y en representación de la misma,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N°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Mediana información en cuanto al detalle y claridad, en relación a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Información detallada y clara en relación a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N°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Los objetivos y actividades a financiar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conocimiento del mercado o Entorno, en relación a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703D" w14:textId="77777777" w:rsidR="00E60CE2" w:rsidRDefault="00E60CE2">
      <w:pPr>
        <w:spacing w:after="0" w:line="240" w:lineRule="auto"/>
      </w:pPr>
      <w:r>
        <w:separator/>
      </w:r>
    </w:p>
  </w:endnote>
  <w:endnote w:type="continuationSeparator" w:id="0">
    <w:p w14:paraId="45F8E9BA" w14:textId="77777777" w:rsidR="00E60CE2" w:rsidRDefault="00E60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62B5" w14:textId="77777777" w:rsidR="00E60CE2" w:rsidRDefault="00E60CE2">
      <w:pPr>
        <w:spacing w:after="0" w:line="240" w:lineRule="auto"/>
      </w:pPr>
      <w:r>
        <w:separator/>
      </w:r>
    </w:p>
  </w:footnote>
  <w:footnote w:type="continuationSeparator" w:id="0">
    <w:p w14:paraId="3E8889C7" w14:textId="77777777" w:rsidR="00E60CE2" w:rsidRDefault="00E60CE2">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22674"/>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60CE2"/>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10228</Words>
  <Characters>56254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2022-07-13T19:33:00Z</dcterms:modified>
</cp:coreProperties>
</file>