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2C77383C" w:rsidR="008A0DBB" w:rsidRDefault="00943F70">
      <w:pPr>
        <w:spacing w:line="276" w:lineRule="auto"/>
        <w:ind w:left="2627" w:right="2628"/>
        <w:jc w:val="center"/>
        <w:rPr>
          <w:b/>
          <w:sz w:val="32"/>
          <w:szCs w:val="32"/>
        </w:rPr>
      </w:pPr>
      <w:r>
        <w:rPr>
          <w:b/>
          <w:sz w:val="32"/>
          <w:szCs w:val="32"/>
        </w:rPr>
        <w:t xml:space="preserve">REGIÓN </w:t>
      </w:r>
      <w:r w:rsidR="00C60C23">
        <w:rPr>
          <w:b/>
          <w:sz w:val="32"/>
          <w:szCs w:val="32"/>
        </w:rPr>
        <w:t>DE MAGALLANES</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N°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N°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CUADRO N°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agroelaborados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N°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Consanguinidad, Anexo N°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w:t>
      </w:r>
      <w:r>
        <w:t>ado en Anexo N°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Documento de vigencia entregado por la dirección del trabajo, además del certificado de Sernapesca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El Proyecto debe ser presentado en tiempo y forma, acompañando todos los antecedentes requeridos en el Anexo N°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vertAlign w:val="superscript"/>
              </w:rPr>
              <w:footnoteReference w:id="6"/>
            </w:r>
            <w:r>
              <w:rPr>
                <w:rFonts w:ascii="Calibri" w:eastAsia="Calibri" w:hAnsi="Calibri" w:cs="Calibri"/>
              </w:rP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Anexo N°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el Anexo N°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Recambio de envases, insumos y artículos para delivery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Ver Anexo N°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MiPyMEs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En___________, a _______ de ________________________ de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En___________, a _______de__________________ de 2022 Don/ña  _____________________, cédula nacional de identidad nº______________,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N°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N°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N°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N°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3649" w14:textId="77777777" w:rsidR="00595594" w:rsidRDefault="00595594">
      <w:pPr>
        <w:spacing w:after="0" w:line="240" w:lineRule="auto"/>
      </w:pPr>
      <w:r>
        <w:separator/>
      </w:r>
    </w:p>
  </w:endnote>
  <w:endnote w:type="continuationSeparator" w:id="0">
    <w:p w14:paraId="6B186420" w14:textId="77777777" w:rsidR="00595594" w:rsidRDefault="0059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5109" w14:textId="77777777" w:rsidR="00595594" w:rsidRDefault="00595594">
      <w:pPr>
        <w:spacing w:after="0" w:line="240" w:lineRule="auto"/>
      </w:pPr>
      <w:r>
        <w:separator/>
      </w:r>
    </w:p>
  </w:footnote>
  <w:footnote w:type="continuationSeparator" w:id="0">
    <w:p w14:paraId="3188FE99" w14:textId="77777777" w:rsidR="00595594" w:rsidRDefault="00595594">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95594"/>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60C23"/>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10228</Words>
  <Characters>56256</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2022-07-13T19:47:00Z</dcterms:modified>
</cp:coreProperties>
</file>