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511B8B29" w14:textId="4F012636" w:rsidR="003C16C8" w:rsidRDefault="0076043B">
      <w:pPr>
        <w:spacing w:line="276" w:lineRule="auto"/>
        <w:ind w:left="2627" w:right="2628"/>
        <w:jc w:val="center"/>
        <w:rPr>
          <w:b/>
          <w:sz w:val="32"/>
          <w:szCs w:val="32"/>
        </w:rPr>
      </w:pPr>
      <w:r>
        <w:rPr>
          <w:b/>
          <w:sz w:val="32"/>
          <w:szCs w:val="32"/>
        </w:rPr>
        <w:t>REGIÓN DE LOS LAGOS</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lastRenderedPageBreak/>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inclusividad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611EFFBC" w14:textId="77777777" w:rsidR="003C16C8" w:rsidRDefault="00421E2C">
      <w:pPr>
        <w:pBdr>
          <w:top w:val="nil"/>
          <w:left w:val="nil"/>
          <w:bottom w:val="nil"/>
          <w:right w:val="nil"/>
          <w:between w:val="nil"/>
        </w:pBdr>
        <w:spacing w:before="176" w:after="0" w:line="240" w:lineRule="auto"/>
      </w:pPr>
      <w:r>
        <w:lastRenderedPageBreak/>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lastRenderedPageBreak/>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Sercotec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Sercotec, elaborado en base a un diagnóstico participativo, acompañado por </w:t>
      </w:r>
      <w:r w:rsidRPr="0060439E">
        <w:lastRenderedPageBreak/>
        <w:t>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Sercotec, </w:t>
      </w:r>
      <w:r w:rsidRPr="0060439E">
        <w:t>con los recursos que Sercotec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stakeholder de interés que permitan ampliar y fortalecer su red y ecosistema cooperativo. </w:t>
      </w:r>
    </w:p>
    <w:p w14:paraId="2322361B" w14:textId="38051569" w:rsidR="0060439E" w:rsidRPr="0060439E" w:rsidRDefault="0060439E" w:rsidP="0060439E">
      <w:r w:rsidRPr="0060439E">
        <w:t>En cuanto a la metodología de operación a desarrollar para dar cumplimiento a los hitos señalados, el instrumento tiene como pilares fundamentales la participación, la co creación, la decisión conjunta, la evaluación compartida y la mirada de negocio, siendo el proceso por el cual el instrumento fortalece la asociatividad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co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cuál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lastRenderedPageBreak/>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¿Qué apoyo entrega Sercotec?</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Sercotec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Este Gestor/a de cooperativa es quien ejecuta la asistencia técnica al modelo de negocio y estrategia comercial de la cooperativa, corresponde a un profesional proporcionado por el AOS de Sercotec, cumpliendo con el perfil de competencias entregado por Sercotec,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La ejecución de este financiamiento será realizada, acompañada, supervisada y sus recursos administrados por los Agente Operador de Sercotec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Los postulantes que resulten seleccionados tendrán que cofinanciar 2% del fondo adjudicado, valor que se suma al subsidio entregado por Sercotec</w:t>
      </w:r>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rut</w:t>
      </w:r>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lastRenderedPageBreak/>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308D654D" w14:textId="77777777" w:rsidR="003C16C8" w:rsidRDefault="00421E2C">
      <w:pPr>
        <w:pStyle w:val="Ttulo2"/>
      </w:pPr>
      <w:r>
        <w:t>6.2. ¿Qué NO Financia?</w:t>
      </w:r>
    </w:p>
    <w:p w14:paraId="3B7404ED" w14:textId="77777777" w:rsidR="003C16C8" w:rsidRDefault="00421E2C">
      <w:r>
        <w:t>Con recursos del cofinanciamiento de Sercotec,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lastRenderedPageBreak/>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Registro en el portal de Sercotec del representante/mandatario del grupo pre cooperativo y registrar en “Mis Organizaciones en el registro de clientes de Sercotec”,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0D70834C" w14:textId="77777777" w:rsidR="003C16C8" w:rsidRDefault="00DC7847">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Evaluación técnica de postulaciones admisibles (Dirección Regional Sercotec)</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El AOS de Sercotec,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La Dirección regional de Sercotec</w:t>
      </w:r>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72E5BD34" w:rsidR="00E46871" w:rsidRPr="003D3973" w:rsidRDefault="003D3973" w:rsidP="003D3973">
            <w:pPr>
              <w:pStyle w:val="Prrafodelista"/>
              <w:numPr>
                <w:ilvl w:val="0"/>
                <w:numId w:val="24"/>
              </w:numPr>
              <w:spacing w:after="0" w:line="240" w:lineRule="auto"/>
              <w:rPr>
                <w:b/>
                <w:sz w:val="20"/>
                <w:szCs w:val="20"/>
              </w:rPr>
            </w:pPr>
            <w:r>
              <w:rPr>
                <w:b/>
                <w:sz w:val="20"/>
                <w:szCs w:val="20"/>
              </w:rPr>
              <w:t>Criterio regional</w:t>
            </w:r>
            <w:r w:rsidR="00F14DD9">
              <w:rPr>
                <w:b/>
                <w:sz w:val="20"/>
                <w:szCs w:val="20"/>
              </w:rPr>
              <w:t>:</w:t>
            </w:r>
            <w:r w:rsidR="00F14DD9" w:rsidRPr="00CF3227">
              <w:rPr>
                <w:b/>
                <w:sz w:val="20"/>
                <w:szCs w:val="20"/>
              </w:rPr>
              <w:t xml:space="preserve"> Número de socios potenciales que realizan una misma actividad productiva. </w:t>
            </w:r>
            <w:r w:rsidR="00F14DD9" w:rsidRPr="00F40428">
              <w:rPr>
                <w:sz w:val="20"/>
                <w:szCs w:val="20"/>
              </w:rPr>
              <w:t>no tienen ventas demostrables un 1, tienen ventas demostrables entre 0,1 y 100UF un 3, tienen ventas demostrables entre 100,1 y 600UF un 5, tienen ventas demostrables de más de 600,1 hacía arriba un 7</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onvocatoria, a un representante de la DAES (División de Asociatividad y Economía Social del Ministerio de Economía) definido por el Jefe de dicha División</w:t>
      </w:r>
      <w:r>
        <w:rPr>
          <w:vertAlign w:val="superscript"/>
        </w:rPr>
        <w:footnoteReference w:id="8"/>
      </w:r>
      <w:r>
        <w:t xml:space="preserve">. </w:t>
      </w:r>
    </w:p>
    <w:p w14:paraId="241D7BA4" w14:textId="77777777" w:rsidR="003C16C8" w:rsidRDefault="00421E2C">
      <w:r>
        <w:lastRenderedPageBreak/>
        <w:t>La evaluación se realizará a través de entrevista presencial o virtual (Sercotec registrará esta entrevista), exigiendo la participación de al menos el 50% del grupo postulante.</w:t>
      </w:r>
    </w:p>
    <w:p w14:paraId="1A1D008C" w14:textId="77777777" w:rsidR="003C16C8" w:rsidRDefault="00421E2C">
      <w:r>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lastRenderedPageBreak/>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Sercotec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10.1 Requisitos para la firma del contrato con el Agente Operador de Sercotec</w:t>
      </w:r>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Sercotec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No tener rendiciones pendientes con Sercotec, lo cual será verificado por Sercotec.</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de acuerdo a formato entregado por Sercotec. Durante la ejecución se podrá realizar cambios de los socios, lo cual debe ser informado al agente operador y éste a su vez deberá informar Sercotec.</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.1 de las bases, Sercotec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instancia en que Sercotec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Sercotec,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El plan de inversiones debe contar con la aprobación de los integrantes del grupo de acuerdo a los lineamientos entregados por Sercotec.</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los cuales definen el uso del subsidio asignado, siendo elaborados en el marco de la ejecución del programa, de acuerdo a los lineamientos entregados por Sercotec.</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Sercotec,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Durante la ejecución se podrá realizar cambios de los socios, lo cual debe ser informado al agente operador y éste a su vez deberá informar Sercotec.</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Una vez que ha terminado la ejecución del proyecto, el Agente Operador deberá cerrarlo, entregando un informe de ejecución según el formato entregado por Sercotec.</w:t>
      </w:r>
    </w:p>
    <w:p w14:paraId="0FA13133" w14:textId="77777777" w:rsidR="003C16C8" w:rsidRDefault="00421E2C">
      <w:r>
        <w:t>La Dirección Regional de Sercotec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Se podrá terminar anticipadamente el contrato entre el Agente Operador Sercotec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Se podrá terminar anticipadamente el contrato por causas no imputables a al grupo pre cooperativo, por ejemplo, a causa de fuerza mayor o caso fortuito, las cuales deberán ser calificadas debidamente por el Director Regional de Sercotec.</w:t>
      </w:r>
    </w:p>
    <w:p w14:paraId="76929738" w14:textId="77777777" w:rsidR="003C16C8" w:rsidRDefault="00421E2C">
      <w:r>
        <w:lastRenderedPageBreak/>
        <w:t>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0C03FFE" w14:textId="77777777" w:rsidR="003C16C8" w:rsidRDefault="00421E2C">
      <w:r>
        <w:t>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14:paraId="1A63EED5" w14:textId="77777777" w:rsidR="003C16C8" w:rsidRDefault="00421E2C">
      <w:r>
        <w:t>El Agente Operador Sercotec a cargo del proyecto deberá hacer entrega de un informe final de cierre, en un plazo no superior a 10 días hábiles, contados desde la firma de la resciliación.</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Se podrá terminar anticipadamente el contrato por causas imputables al grupo pre cooperativo, las cuales deberán ser calificadas debidamente por la Dirección Regional de Sercotec.</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La solicitud de término anticipado por estas causales deberá ser presentada, a la Dirección Regional de Sercotec, por el Agente Operador de Sercotec por escrito, acompañada de los antecedentes que fundamentan dicha solicitud.</w:t>
      </w:r>
    </w:p>
    <w:p w14:paraId="1B9DB64F" w14:textId="77777777" w:rsidR="003C16C8" w:rsidRDefault="00421E2C">
      <w:r>
        <w:t>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Los grupos pre cooperativos, a través del postulante, autorizan desde ya a Sercotec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Se excluyen los gastos de este subitem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Se podrá considerar como gasto los servicios contratados de coffee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1"/>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Podrán ser objeto de cofinanciamiento de Sercotec,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Recambio de envases, insumos y artículos para delivery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de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En___________, a _______de__________________ de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de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cédula nacional de identidad número ……. domiciliado/a en ………………………, en mi calidad de propietario del terreno ubicado en ……………………, donde funciona la organización …………………, autorizo a los beneficiarios del Programa Creación y Fortalecimiento de Cooperativas 2023 de Sercotec,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6BD82981" w:rsidR="003C16C8" w:rsidRDefault="003C16C8"/>
    <w:p w14:paraId="5EBD38F1" w14:textId="4510975E" w:rsidR="00B73B76" w:rsidRDefault="00B73B76"/>
    <w:p w14:paraId="288BD195" w14:textId="77777777" w:rsidR="00B73B76" w:rsidRDefault="00B73B76"/>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B73B76" w14:paraId="2736132D" w14:textId="77777777" w:rsidTr="007268BE">
        <w:trPr>
          <w:trHeight w:val="58"/>
          <w:jc w:val="center"/>
        </w:trPr>
        <w:tc>
          <w:tcPr>
            <w:tcW w:w="8828" w:type="dxa"/>
            <w:gridSpan w:val="3"/>
            <w:shd w:val="clear" w:color="auto" w:fill="FFE599"/>
          </w:tcPr>
          <w:p w14:paraId="2773F977" w14:textId="77777777" w:rsidR="00B73B76" w:rsidRDefault="00B73B76" w:rsidP="007268BE">
            <w:r>
              <w:rPr>
                <w:b/>
                <w:sz w:val="20"/>
                <w:szCs w:val="20"/>
              </w:rPr>
              <w:lastRenderedPageBreak/>
              <w:t>7.</w:t>
            </w:r>
            <w:r>
              <w:t xml:space="preserve"> </w:t>
            </w:r>
            <w:r w:rsidRPr="00CF3227">
              <w:rPr>
                <w:b/>
                <w:sz w:val="20"/>
                <w:szCs w:val="20"/>
              </w:rPr>
              <w:t>Número de socios potenciales que realizan una misma actividad productiva</w:t>
            </w:r>
          </w:p>
        </w:tc>
      </w:tr>
      <w:tr w:rsidR="00B73B76" w14:paraId="509BD9C0" w14:textId="77777777" w:rsidTr="007268BE">
        <w:trPr>
          <w:trHeight w:val="984"/>
          <w:jc w:val="center"/>
        </w:trPr>
        <w:tc>
          <w:tcPr>
            <w:tcW w:w="2830" w:type="dxa"/>
          </w:tcPr>
          <w:p w14:paraId="608A655F" w14:textId="77777777" w:rsidR="00B73B76" w:rsidRDefault="00B73B76" w:rsidP="007268BE">
            <w:r w:rsidRPr="00CF3227">
              <w:t>Menos del 74% de los socios</w:t>
            </w:r>
            <w:r>
              <w:t xml:space="preserve"> tienen la misma</w:t>
            </w:r>
            <w:r w:rsidRPr="00CF3227">
              <w:t xml:space="preserve"> actividad productiva, profesión u oficio</w:t>
            </w:r>
          </w:p>
        </w:tc>
        <w:tc>
          <w:tcPr>
            <w:tcW w:w="3035" w:type="dxa"/>
          </w:tcPr>
          <w:p w14:paraId="385FE2AA" w14:textId="77777777" w:rsidR="00B73B76" w:rsidRDefault="00B73B76" w:rsidP="007268BE">
            <w:r>
              <w:t xml:space="preserve">99% a </w:t>
            </w:r>
            <w:r w:rsidRPr="00CF3227">
              <w:t>75% de los socios tienen la misma actividad productiva, profesión u oficio</w:t>
            </w:r>
          </w:p>
        </w:tc>
        <w:tc>
          <w:tcPr>
            <w:tcW w:w="2963" w:type="dxa"/>
          </w:tcPr>
          <w:p w14:paraId="51875A31" w14:textId="77777777" w:rsidR="00B73B76" w:rsidRDefault="00B73B76" w:rsidP="007268BE">
            <w:r>
              <w:t>El</w:t>
            </w:r>
            <w:r w:rsidRPr="00CF3227">
              <w:t xml:space="preserve"> 100% de los socios tienen la misma actividad productiva, profesión u oficio</w:t>
            </w:r>
          </w:p>
        </w:tc>
      </w:tr>
      <w:tr w:rsidR="00B73B76" w14:paraId="63C116E1" w14:textId="77777777" w:rsidTr="007268BE">
        <w:trPr>
          <w:trHeight w:val="220"/>
          <w:jc w:val="center"/>
        </w:trPr>
        <w:tc>
          <w:tcPr>
            <w:tcW w:w="2830" w:type="dxa"/>
          </w:tcPr>
          <w:p w14:paraId="05FD6D53" w14:textId="77777777" w:rsidR="00B73B76" w:rsidRDefault="00B73B76" w:rsidP="007268BE">
            <w:pPr>
              <w:jc w:val="center"/>
              <w:rPr>
                <w:b/>
              </w:rPr>
            </w:pPr>
            <w:r>
              <w:rPr>
                <w:b/>
              </w:rPr>
              <w:t>3</w:t>
            </w:r>
          </w:p>
        </w:tc>
        <w:tc>
          <w:tcPr>
            <w:tcW w:w="3035" w:type="dxa"/>
          </w:tcPr>
          <w:p w14:paraId="6657C312" w14:textId="77777777" w:rsidR="00B73B76" w:rsidRDefault="00B73B76" w:rsidP="007268BE">
            <w:pPr>
              <w:jc w:val="center"/>
              <w:rPr>
                <w:b/>
              </w:rPr>
            </w:pPr>
            <w:r>
              <w:rPr>
                <w:b/>
              </w:rPr>
              <w:t>5</w:t>
            </w:r>
          </w:p>
        </w:tc>
        <w:tc>
          <w:tcPr>
            <w:tcW w:w="2963" w:type="dxa"/>
          </w:tcPr>
          <w:p w14:paraId="4FE3730A" w14:textId="77777777" w:rsidR="00B73B76" w:rsidRDefault="00B73B76" w:rsidP="007268BE">
            <w:pPr>
              <w:jc w:val="center"/>
              <w:rPr>
                <w:b/>
              </w:rPr>
            </w:pPr>
            <w:r>
              <w:rPr>
                <w:b/>
              </w:rPr>
              <w:t>7</w:t>
            </w:r>
          </w:p>
        </w:tc>
      </w:tr>
    </w:tbl>
    <w:p w14:paraId="26407A03" w14:textId="5E2A6F1F" w:rsidR="008B29DE" w:rsidRDefault="008B29DE"/>
    <w:p w14:paraId="1CF5D660" w14:textId="77777777" w:rsidR="00B73B76" w:rsidRDefault="00B73B76"/>
    <w:p w14:paraId="380E7BB6" w14:textId="77777777" w:rsidR="003C16C8" w:rsidRDefault="00421E2C">
      <w:pPr>
        <w:keepNext/>
        <w:keepLines/>
        <w:spacing w:before="240" w:after="0"/>
        <w:jc w:val="center"/>
        <w:rPr>
          <w:b/>
          <w:sz w:val="26"/>
          <w:szCs w:val="26"/>
        </w:rPr>
      </w:pPr>
      <w:bookmarkStart w:id="17" w:name="_heading=h.xkun2c2xelt9" w:colFirst="0" w:colLast="0"/>
      <w:bookmarkStart w:id="18" w:name="_GoBack"/>
      <w:bookmarkEnd w:id="17"/>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2A0EA" w14:textId="77777777" w:rsidR="00DC7847" w:rsidRDefault="00DC7847">
      <w:pPr>
        <w:spacing w:after="0" w:line="240" w:lineRule="auto"/>
      </w:pPr>
      <w:r>
        <w:separator/>
      </w:r>
    </w:p>
  </w:endnote>
  <w:endnote w:type="continuationSeparator" w:id="0">
    <w:p w14:paraId="7A3C56E0" w14:textId="77777777" w:rsidR="00DC7847" w:rsidRDefault="00DC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0E56C0E4"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73B76">
      <w:rPr>
        <w:noProof/>
        <w:color w:val="000000"/>
      </w:rPr>
      <w:t>45</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78599" w14:textId="77777777" w:rsidR="00DC7847" w:rsidRDefault="00DC7847">
      <w:pPr>
        <w:spacing w:after="0" w:line="240" w:lineRule="auto"/>
      </w:pPr>
      <w:r>
        <w:separator/>
      </w:r>
    </w:p>
  </w:footnote>
  <w:footnote w:type="continuationSeparator" w:id="0">
    <w:p w14:paraId="06770367" w14:textId="77777777" w:rsidR="00DC7847" w:rsidRDefault="00DC7847">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Se entenderá como autocontratación,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En el caso que el representante del Ministerio de Economía (DAES) no pueda participar de la evaluación CER, deberá notificar formalmente su ausencia, en cuyo caso, Sercotec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34056"/>
    <w:rsid w:val="00065873"/>
    <w:rsid w:val="00080BC9"/>
    <w:rsid w:val="000C4977"/>
    <w:rsid w:val="000D62EC"/>
    <w:rsid w:val="000E175F"/>
    <w:rsid w:val="000E6172"/>
    <w:rsid w:val="0010470B"/>
    <w:rsid w:val="001242DB"/>
    <w:rsid w:val="00185535"/>
    <w:rsid w:val="00185BF6"/>
    <w:rsid w:val="001E5577"/>
    <w:rsid w:val="00221274"/>
    <w:rsid w:val="002843B9"/>
    <w:rsid w:val="00295203"/>
    <w:rsid w:val="002B0218"/>
    <w:rsid w:val="002B3808"/>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3750"/>
    <w:rsid w:val="00546CE3"/>
    <w:rsid w:val="00583B6F"/>
    <w:rsid w:val="00591DE2"/>
    <w:rsid w:val="005A64A3"/>
    <w:rsid w:val="005F65F4"/>
    <w:rsid w:val="0060439E"/>
    <w:rsid w:val="00643484"/>
    <w:rsid w:val="0064713B"/>
    <w:rsid w:val="00656B92"/>
    <w:rsid w:val="00682CDD"/>
    <w:rsid w:val="00687173"/>
    <w:rsid w:val="006F2111"/>
    <w:rsid w:val="006F77E0"/>
    <w:rsid w:val="0076043B"/>
    <w:rsid w:val="007B05BD"/>
    <w:rsid w:val="007D59DE"/>
    <w:rsid w:val="0080047D"/>
    <w:rsid w:val="00800C34"/>
    <w:rsid w:val="00803BF7"/>
    <w:rsid w:val="00825EC8"/>
    <w:rsid w:val="00846E38"/>
    <w:rsid w:val="008818D2"/>
    <w:rsid w:val="008B29DE"/>
    <w:rsid w:val="008F6AFA"/>
    <w:rsid w:val="00927DBA"/>
    <w:rsid w:val="00935E7F"/>
    <w:rsid w:val="009F2BBA"/>
    <w:rsid w:val="00A061AC"/>
    <w:rsid w:val="00A34D4A"/>
    <w:rsid w:val="00B24925"/>
    <w:rsid w:val="00B43B03"/>
    <w:rsid w:val="00B73B76"/>
    <w:rsid w:val="00B751B2"/>
    <w:rsid w:val="00B91679"/>
    <w:rsid w:val="00BA2407"/>
    <w:rsid w:val="00BA6C32"/>
    <w:rsid w:val="00BE6FB8"/>
    <w:rsid w:val="00BF73E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30B39"/>
    <w:rsid w:val="00D81251"/>
    <w:rsid w:val="00D94A19"/>
    <w:rsid w:val="00DC7847"/>
    <w:rsid w:val="00DF350A"/>
    <w:rsid w:val="00E03465"/>
    <w:rsid w:val="00E05E01"/>
    <w:rsid w:val="00E06217"/>
    <w:rsid w:val="00E4053E"/>
    <w:rsid w:val="00E421A4"/>
    <w:rsid w:val="00E46871"/>
    <w:rsid w:val="00E50CB8"/>
    <w:rsid w:val="00EA1084"/>
    <w:rsid w:val="00EA2107"/>
    <w:rsid w:val="00EA37E1"/>
    <w:rsid w:val="00ED47DB"/>
    <w:rsid w:val="00EF1313"/>
    <w:rsid w:val="00F05D91"/>
    <w:rsid w:val="00F14DD9"/>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7D0561-4C40-49A9-80F1-844AF877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13863</Words>
  <Characters>76247</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9</cp:revision>
  <dcterms:created xsi:type="dcterms:W3CDTF">2023-07-04T14:26:00Z</dcterms:created>
  <dcterms:modified xsi:type="dcterms:W3CDTF">2023-07-04T17:11:00Z</dcterms:modified>
</cp:coreProperties>
</file>