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0DC98403" w:rsidR="00101F46" w:rsidRDefault="00A108ED" w:rsidP="00A108ED">
      <w:pPr>
        <w:spacing w:line="276" w:lineRule="auto"/>
        <w:ind w:right="2628"/>
        <w:rPr>
          <w:b/>
          <w:sz w:val="32"/>
          <w:szCs w:val="32"/>
        </w:rPr>
      </w:pPr>
      <w:r>
        <w:rPr>
          <w:b/>
          <w:sz w:val="32"/>
          <w:szCs w:val="32"/>
        </w:rPr>
        <w:t xml:space="preserve">                            </w:t>
      </w:r>
      <w:r w:rsidR="00141C90">
        <w:rPr>
          <w:b/>
          <w:sz w:val="32"/>
          <w:szCs w:val="32"/>
        </w:rPr>
        <w:t xml:space="preserve">             </w:t>
      </w:r>
      <w:r>
        <w:rPr>
          <w:b/>
          <w:sz w:val="32"/>
          <w:szCs w:val="32"/>
        </w:rPr>
        <w:t xml:space="preserve">  </w:t>
      </w:r>
      <w:r w:rsidR="00632D48">
        <w:rPr>
          <w:b/>
          <w:sz w:val="32"/>
          <w:szCs w:val="32"/>
        </w:rPr>
        <w:t xml:space="preserve">REGIÓN DE AYSÉN </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750845" w14:paraId="1644D8E9" w14:textId="77777777" w:rsidTr="001B358D">
        <w:trPr>
          <w:trHeight w:val="268"/>
        </w:trPr>
        <w:tc>
          <w:tcPr>
            <w:tcW w:w="424" w:type="dxa"/>
          </w:tcPr>
          <w:p w14:paraId="7879D14C" w14:textId="77777777" w:rsidR="00101F46" w:rsidRPr="00750845" w:rsidRDefault="00101F46">
            <w:pPr>
              <w:spacing w:line="276" w:lineRule="auto"/>
              <w:jc w:val="center"/>
              <w:rPr>
                <w:rFonts w:ascii="Calibri" w:hAnsi="Calibri" w:cs="Calibri"/>
                <w:b/>
                <w:sz w:val="18"/>
                <w:szCs w:val="18"/>
              </w:rPr>
            </w:pPr>
          </w:p>
        </w:tc>
        <w:tc>
          <w:tcPr>
            <w:tcW w:w="1842" w:type="dxa"/>
          </w:tcPr>
          <w:p w14:paraId="745F4293" w14:textId="77777777" w:rsidR="00101F46" w:rsidRPr="00750845" w:rsidRDefault="004B4831">
            <w:pPr>
              <w:spacing w:line="276" w:lineRule="auto"/>
              <w:jc w:val="center"/>
              <w:rPr>
                <w:rFonts w:ascii="Calibri" w:hAnsi="Calibri" w:cs="Calibri"/>
                <w:b/>
                <w:sz w:val="18"/>
                <w:szCs w:val="18"/>
              </w:rPr>
            </w:pPr>
            <w:r w:rsidRPr="00750845">
              <w:rPr>
                <w:rFonts w:ascii="Calibri" w:hAnsi="Calibri" w:cs="Calibri"/>
                <w:b/>
                <w:sz w:val="18"/>
                <w:szCs w:val="18"/>
              </w:rPr>
              <w:t>Dimensión</w:t>
            </w:r>
          </w:p>
        </w:tc>
        <w:tc>
          <w:tcPr>
            <w:tcW w:w="6868" w:type="dxa"/>
          </w:tcPr>
          <w:p w14:paraId="0589E5E3" w14:textId="77777777" w:rsidR="00101F46" w:rsidRPr="00750845" w:rsidRDefault="004B4831">
            <w:pPr>
              <w:spacing w:line="276" w:lineRule="auto"/>
              <w:jc w:val="center"/>
              <w:rPr>
                <w:rFonts w:ascii="Calibri" w:hAnsi="Calibri" w:cs="Calibri"/>
                <w:b/>
                <w:sz w:val="18"/>
                <w:szCs w:val="18"/>
              </w:rPr>
            </w:pPr>
            <w:r w:rsidRPr="00750845">
              <w:rPr>
                <w:rFonts w:ascii="Calibri" w:hAnsi="Calibri" w:cs="Calibri"/>
                <w:b/>
                <w:sz w:val="18"/>
                <w:szCs w:val="18"/>
              </w:rPr>
              <w:t>Propósito</w:t>
            </w:r>
          </w:p>
        </w:tc>
      </w:tr>
      <w:tr w:rsidR="00101F46" w:rsidRPr="00750845" w14:paraId="2C7B697D" w14:textId="77777777" w:rsidTr="001B358D">
        <w:trPr>
          <w:trHeight w:val="1310"/>
        </w:trPr>
        <w:tc>
          <w:tcPr>
            <w:tcW w:w="424" w:type="dxa"/>
          </w:tcPr>
          <w:p w14:paraId="6A4212E5"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1</w:t>
            </w:r>
          </w:p>
        </w:tc>
        <w:tc>
          <w:tcPr>
            <w:tcW w:w="1842" w:type="dxa"/>
          </w:tcPr>
          <w:p w14:paraId="03DBDA80"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Organización interna y gobernanza de la cooperativa</w:t>
            </w:r>
          </w:p>
        </w:tc>
        <w:tc>
          <w:tcPr>
            <w:tcW w:w="6868" w:type="dxa"/>
          </w:tcPr>
          <w:p w14:paraId="245A04EB"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750845">
              <w:rPr>
                <w:rFonts w:ascii="Calibri" w:hAnsi="Calibri" w:cs="Calibri"/>
                <w:sz w:val="18"/>
                <w:szCs w:val="18"/>
              </w:rPr>
              <w:t>con orientación y liderazgo hacia el desarrollo sostenible. C</w:t>
            </w:r>
            <w:r w:rsidRPr="00750845">
              <w:rPr>
                <w:rFonts w:ascii="Calibri" w:hAnsi="Calibri" w:cs="Calibri"/>
                <w:sz w:val="18"/>
                <w:szCs w:val="18"/>
              </w:rPr>
              <w:t>omo así también, su regulación interna y legal, tanto para su creación como para su posterior consolidación.</w:t>
            </w:r>
          </w:p>
        </w:tc>
      </w:tr>
      <w:tr w:rsidR="00101F46" w:rsidRPr="00750845" w14:paraId="610D8341" w14:textId="77777777" w:rsidTr="001B358D">
        <w:trPr>
          <w:trHeight w:val="1052"/>
        </w:trPr>
        <w:tc>
          <w:tcPr>
            <w:tcW w:w="424" w:type="dxa"/>
          </w:tcPr>
          <w:p w14:paraId="158AAA24"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2</w:t>
            </w:r>
          </w:p>
        </w:tc>
        <w:tc>
          <w:tcPr>
            <w:tcW w:w="1842" w:type="dxa"/>
          </w:tcPr>
          <w:p w14:paraId="03ADF6BB"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Gestión financiera, fiscal, contable y administrativa de las cooperativas</w:t>
            </w:r>
          </w:p>
        </w:tc>
        <w:tc>
          <w:tcPr>
            <w:tcW w:w="6868" w:type="dxa"/>
          </w:tcPr>
          <w:p w14:paraId="43DF1AA2"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750845" w14:paraId="43A0FA30" w14:textId="77777777" w:rsidTr="001B358D">
        <w:trPr>
          <w:trHeight w:val="741"/>
        </w:trPr>
        <w:tc>
          <w:tcPr>
            <w:tcW w:w="424" w:type="dxa"/>
          </w:tcPr>
          <w:p w14:paraId="5E713C9D"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3</w:t>
            </w:r>
          </w:p>
        </w:tc>
        <w:tc>
          <w:tcPr>
            <w:tcW w:w="1842" w:type="dxa"/>
          </w:tcPr>
          <w:p w14:paraId="392F315F"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 xml:space="preserve">Dirección estratégica y Modelo de negocio </w:t>
            </w:r>
            <w:r w:rsidR="00AE39AE" w:rsidRPr="00750845">
              <w:rPr>
                <w:rFonts w:ascii="Calibri" w:hAnsi="Calibri" w:cs="Calibri"/>
                <w:sz w:val="18"/>
                <w:szCs w:val="18"/>
              </w:rPr>
              <w:t>con mirada sostenible</w:t>
            </w:r>
          </w:p>
        </w:tc>
        <w:tc>
          <w:tcPr>
            <w:tcW w:w="6868" w:type="dxa"/>
          </w:tcPr>
          <w:p w14:paraId="6285D749" w14:textId="77777777" w:rsidR="00101F46" w:rsidRPr="00750845" w:rsidRDefault="004B4831" w:rsidP="00AE39AE">
            <w:pPr>
              <w:spacing w:line="276" w:lineRule="auto"/>
              <w:rPr>
                <w:rFonts w:ascii="Calibri" w:hAnsi="Calibri" w:cs="Calibri"/>
                <w:sz w:val="18"/>
                <w:szCs w:val="18"/>
              </w:rPr>
            </w:pPr>
            <w:r w:rsidRPr="00750845">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750845">
              <w:rPr>
                <w:rFonts w:ascii="Calibri" w:hAnsi="Calibri" w:cs="Calibri"/>
                <w:color w:val="000000"/>
                <w:sz w:val="18"/>
                <w:szCs w:val="18"/>
              </w:rPr>
              <w:t xml:space="preserve">,  fortaleciendo su operación productiva  a partir de una planificación estratégica comercial </w:t>
            </w:r>
            <w:r w:rsidR="00136933" w:rsidRPr="00750845">
              <w:rPr>
                <w:rFonts w:ascii="Calibri" w:hAnsi="Calibri" w:cs="Calibri"/>
                <w:color w:val="000000"/>
                <w:sz w:val="18"/>
                <w:szCs w:val="18"/>
              </w:rPr>
              <w:t>orientada</w:t>
            </w:r>
            <w:r w:rsidR="00AE39AE" w:rsidRPr="00750845">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750845" w14:paraId="0154832C" w14:textId="77777777" w:rsidTr="001B358D">
        <w:trPr>
          <w:trHeight w:val="1643"/>
        </w:trPr>
        <w:tc>
          <w:tcPr>
            <w:tcW w:w="424" w:type="dxa"/>
          </w:tcPr>
          <w:p w14:paraId="11AAE825"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4</w:t>
            </w:r>
          </w:p>
        </w:tc>
        <w:tc>
          <w:tcPr>
            <w:tcW w:w="1842" w:type="dxa"/>
          </w:tcPr>
          <w:p w14:paraId="64988BB6"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750845" w:rsidRDefault="004B4831">
            <w:pPr>
              <w:spacing w:line="276" w:lineRule="auto"/>
              <w:rPr>
                <w:rFonts w:ascii="Calibri" w:hAnsi="Calibri" w:cs="Calibri"/>
                <w:sz w:val="18"/>
                <w:szCs w:val="18"/>
              </w:rPr>
            </w:pPr>
            <w:r w:rsidRPr="00750845">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750845" w:rsidRDefault="004B4831">
            <w:pPr>
              <w:spacing w:line="276" w:lineRule="auto"/>
              <w:rPr>
                <w:rFonts w:ascii="Calibri" w:hAnsi="Calibri" w:cs="Calibri"/>
                <w:sz w:val="18"/>
                <w:szCs w:val="18"/>
              </w:rPr>
            </w:pPr>
            <w:r w:rsidRPr="00750845">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5F9B45C5" w:rsidR="00FE3A9E" w:rsidRDefault="00750845">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145A51AF">
                <wp:simplePos x="0" y="0"/>
                <wp:positionH relativeFrom="margin">
                  <wp:align>left</wp:align>
                </wp:positionH>
                <wp:positionV relativeFrom="paragraph">
                  <wp:posOffset>792480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1D2FD8" w:rsidRPr="009F2F14" w:rsidRDefault="001D2F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2.4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LI450vdAAAACAEAAA8AAABk&#10;cnMvZG93bnJldi54bWxMj8FOwzAQRO9I/IO1SFxQ66REVZPGqaAS4kwA0aMbL3FEvA6x26R/z3KC&#10;486MZueVu9n14oxj6DwpSJcJCKTGm45aBW+vT4sNiBA1Gd17QgUXDLCrrq9KXRg/0Que69gKLqFQ&#10;aAU2xqGQMjQWnQ5LPyCx9+lHpyOfYyvNqCcud71cJclaOt0Rf7B6wL3F5qs+OQXT3eXwkb5/P9v0&#10;ca4PzT7I3Aalbm/mhy2IiHP8C8PvfJ4OFW86+hOZIHoFDBJZXWUMwPYmX9+DOLKSZxnIqpT/Aaof&#10;AAAA//8DAFBLAQItABQABgAIAAAAIQC2gziS/gAAAOEBAAATAAAAAAAAAAAAAAAAAAAAAABbQ29u&#10;dGVudF9UeXBlc10ueG1sUEsBAi0AFAAGAAgAAAAhADj9If/WAAAAlAEAAAsAAAAAAAAAAAAAAAAA&#10;LwEAAF9yZWxzLy5yZWxzUEsBAi0AFAAGAAgAAAAhALoiX7E0AgAAagQAAA4AAAAAAAAAAAAAAAAA&#10;LgIAAGRycy9lMm9Eb2MueG1sUEsBAi0AFAAGAAgAAAAhALI450v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1D2FD8" w:rsidRPr="009F2F14" w:rsidRDefault="001D2F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208C50ED">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1D2FD8" w:rsidRPr="009F2F14" w:rsidRDefault="001D2F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1D2FD8" w:rsidRPr="009F2F14" w:rsidRDefault="001D2F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03A61131" w:rsidR="005E7349" w:rsidRDefault="005E7349">
      <w:pPr>
        <w:spacing w:after="0" w:line="240" w:lineRule="auto"/>
        <w:rPr>
          <w:rFonts w:eastAsia="Times New Roman"/>
          <w:sz w:val="24"/>
          <w:szCs w:val="24"/>
        </w:rPr>
      </w:pPr>
    </w:p>
    <w:p w14:paraId="14EE4564" w14:textId="3BFA78A2" w:rsidR="00677328" w:rsidRDefault="00677328">
      <w:pPr>
        <w:spacing w:after="0" w:line="240" w:lineRule="auto"/>
        <w:rPr>
          <w:rFonts w:eastAsia="Times New Roman"/>
          <w:sz w:val="24"/>
          <w:szCs w:val="24"/>
        </w:rPr>
      </w:pPr>
    </w:p>
    <w:p w14:paraId="12F2C49B" w14:textId="3075D1DD" w:rsidR="00677328" w:rsidRDefault="00677328">
      <w:pPr>
        <w:spacing w:after="0" w:line="240" w:lineRule="auto"/>
        <w:rPr>
          <w:rFonts w:eastAsia="Times New Roman"/>
          <w:sz w:val="24"/>
          <w:szCs w:val="24"/>
        </w:rPr>
      </w:pPr>
    </w:p>
    <w:p w14:paraId="3300CE1F" w14:textId="6D62FF59" w:rsidR="00677328" w:rsidRDefault="00677328">
      <w:pPr>
        <w:spacing w:after="0" w:line="240" w:lineRule="auto"/>
        <w:rPr>
          <w:rFonts w:eastAsia="Times New Roman"/>
          <w:sz w:val="24"/>
          <w:szCs w:val="24"/>
        </w:rPr>
      </w:pPr>
    </w:p>
    <w:p w14:paraId="09EAE814" w14:textId="77777777" w:rsidR="00677328" w:rsidRPr="00531C53" w:rsidRDefault="00677328">
      <w:pPr>
        <w:spacing w:after="0" w:line="240" w:lineRule="auto"/>
        <w:rPr>
          <w:rFonts w:eastAsia="Times New Roman"/>
          <w:sz w:val="24"/>
          <w:szCs w:val="24"/>
        </w:rPr>
      </w:pPr>
      <w:bookmarkStart w:id="4" w:name="_GoBack"/>
      <w:bookmarkEnd w:id="4"/>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212A6A"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212A6A"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212A6A">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212A6A">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212A6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212A6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212A6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212A6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212A6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212A6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212A6A">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212A6A">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1D2FD8" w:rsidRDefault="001D2FD8" w:rsidP="00FD0202">
                            <w:pPr>
                              <w:spacing w:line="258" w:lineRule="auto"/>
                              <w:textDirection w:val="btLr"/>
                              <w:rPr>
                                <w:b/>
                                <w:color w:val="000000"/>
                              </w:rPr>
                            </w:pPr>
                            <w:r>
                              <w:rPr>
                                <w:b/>
                                <w:color w:val="000000"/>
                              </w:rPr>
                              <w:t>NOTA 3:</w:t>
                            </w:r>
                          </w:p>
                          <w:p w14:paraId="09A2DC23" w14:textId="77777777" w:rsidR="001D2FD8" w:rsidRDefault="001D2F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1D2FD8" w:rsidRDefault="001D2FD8" w:rsidP="00531C53">
                            <w:pPr>
                              <w:spacing w:after="0"/>
                              <w:ind w:left="360"/>
                            </w:pPr>
                          </w:p>
                          <w:p w14:paraId="0EF78B23" w14:textId="77777777" w:rsidR="001D2FD8" w:rsidRDefault="001D2F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1D2FD8" w:rsidRDefault="001D2FD8" w:rsidP="00230696">
                            <w:pPr>
                              <w:spacing w:after="0"/>
                            </w:pPr>
                          </w:p>
                          <w:p w14:paraId="505DE389" w14:textId="77777777" w:rsidR="001D2FD8" w:rsidRDefault="001D2FD8" w:rsidP="00FD0202">
                            <w:pPr>
                              <w:pStyle w:val="Prrafodelista"/>
                              <w:numPr>
                                <w:ilvl w:val="0"/>
                                <w:numId w:val="36"/>
                              </w:numPr>
                              <w:spacing w:after="0"/>
                            </w:pPr>
                            <w:r>
                              <w:t>En el caso de las cooperativas compuestas en un 80% o más mujeres, al menos el 60% debe estar capacitada.</w:t>
                            </w:r>
                          </w:p>
                          <w:p w14:paraId="3CEED264" w14:textId="77777777" w:rsidR="001D2FD8" w:rsidRDefault="001D2FD8" w:rsidP="00FD0202">
                            <w:pPr>
                              <w:spacing w:after="0"/>
                            </w:pPr>
                          </w:p>
                          <w:p w14:paraId="310A1514" w14:textId="77777777" w:rsidR="001D2FD8" w:rsidRDefault="001D2F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1D2FD8" w:rsidRDefault="001D2F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1D2FD8" w:rsidRDefault="001D2FD8" w:rsidP="00FD0202">
                      <w:pPr>
                        <w:spacing w:line="258" w:lineRule="auto"/>
                        <w:textDirection w:val="btLr"/>
                        <w:rPr>
                          <w:b/>
                          <w:color w:val="000000"/>
                        </w:rPr>
                      </w:pPr>
                      <w:r>
                        <w:rPr>
                          <w:b/>
                          <w:color w:val="000000"/>
                        </w:rPr>
                        <w:t>NOTA 3:</w:t>
                      </w:r>
                    </w:p>
                    <w:p w14:paraId="09A2DC23" w14:textId="77777777" w:rsidR="001D2FD8" w:rsidRDefault="001D2F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1D2FD8" w:rsidRDefault="001D2FD8" w:rsidP="00531C53">
                      <w:pPr>
                        <w:spacing w:after="0"/>
                        <w:ind w:left="360"/>
                      </w:pPr>
                    </w:p>
                    <w:p w14:paraId="0EF78B23" w14:textId="77777777" w:rsidR="001D2FD8" w:rsidRDefault="001D2F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1D2FD8" w:rsidRDefault="001D2FD8" w:rsidP="00230696">
                      <w:pPr>
                        <w:spacing w:after="0"/>
                      </w:pPr>
                    </w:p>
                    <w:p w14:paraId="505DE389" w14:textId="77777777" w:rsidR="001D2FD8" w:rsidRDefault="001D2FD8" w:rsidP="00FD0202">
                      <w:pPr>
                        <w:pStyle w:val="Prrafodelista"/>
                        <w:numPr>
                          <w:ilvl w:val="0"/>
                          <w:numId w:val="36"/>
                        </w:numPr>
                        <w:spacing w:after="0"/>
                      </w:pPr>
                      <w:r>
                        <w:t>En el caso de las cooperativas compuestas en un 80% o más mujeres, al menos el 60% debe estar capacitada.</w:t>
                      </w:r>
                    </w:p>
                    <w:p w14:paraId="3CEED264" w14:textId="77777777" w:rsidR="001D2FD8" w:rsidRDefault="001D2FD8" w:rsidP="00FD0202">
                      <w:pPr>
                        <w:spacing w:after="0"/>
                      </w:pPr>
                    </w:p>
                    <w:p w14:paraId="310A1514" w14:textId="77777777" w:rsidR="001D2FD8" w:rsidRDefault="001D2F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1D2FD8" w:rsidRDefault="001D2F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5" w:name="_heading=h.3fgcqdjkj16b" w:colFirst="0" w:colLast="0"/>
      <w:bookmarkEnd w:id="5"/>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1D2FD8" w:rsidRDefault="001D2F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1D2FD8" w:rsidRDefault="001D2F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1D2FD8" w:rsidRDefault="001D2F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1D2FD8" w:rsidRDefault="001D2F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1D2FD8" w:rsidRDefault="001D2F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1D2FD8" w:rsidRDefault="001D2F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1D2FD8" w:rsidRDefault="001D2F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1D2FD8" w:rsidRDefault="001D2F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1D2FD8" w:rsidRDefault="001D2F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1D2FD8" w:rsidRDefault="001D2FD8">
                            <w:pPr>
                              <w:spacing w:line="258" w:lineRule="auto"/>
                              <w:ind w:left="141" w:right="135" w:firstLine="1125"/>
                              <w:textDirection w:val="btLr"/>
                              <w:rPr>
                                <w:color w:val="000000"/>
                              </w:rPr>
                            </w:pPr>
                          </w:p>
                          <w:p w14:paraId="7D4C85EC" w14:textId="77777777" w:rsidR="001D2FD8" w:rsidRDefault="001D2FD8">
                            <w:pPr>
                              <w:spacing w:line="258" w:lineRule="auto"/>
                              <w:ind w:left="141" w:right="135" w:firstLine="1125"/>
                              <w:textDirection w:val="btLr"/>
                              <w:rPr>
                                <w:color w:val="000000"/>
                              </w:rPr>
                            </w:pPr>
                          </w:p>
                          <w:p w14:paraId="7BBA99CE" w14:textId="77777777" w:rsidR="001D2FD8" w:rsidRDefault="001D2F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1D2FD8" w:rsidRDefault="001D2F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1D2FD8" w:rsidRDefault="001D2F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1D2FD8" w:rsidRDefault="001D2F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1D2FD8" w:rsidRDefault="001D2F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1D2FD8" w:rsidRDefault="001D2F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1D2FD8" w:rsidRDefault="001D2FD8">
                      <w:pPr>
                        <w:spacing w:line="258" w:lineRule="auto"/>
                        <w:ind w:left="141" w:right="135" w:firstLine="1125"/>
                        <w:textDirection w:val="btLr"/>
                        <w:rPr>
                          <w:color w:val="000000"/>
                        </w:rPr>
                      </w:pPr>
                    </w:p>
                    <w:p w14:paraId="7D4C85EC" w14:textId="77777777" w:rsidR="001D2FD8" w:rsidRDefault="001D2FD8">
                      <w:pPr>
                        <w:spacing w:line="258" w:lineRule="auto"/>
                        <w:ind w:left="141" w:right="135" w:firstLine="1125"/>
                        <w:textDirection w:val="btLr"/>
                        <w:rPr>
                          <w:color w:val="000000"/>
                        </w:rPr>
                      </w:pPr>
                    </w:p>
                    <w:p w14:paraId="7BBA99CE" w14:textId="77777777" w:rsidR="001D2FD8" w:rsidRDefault="001D2F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1D2FD8">
            <w:pPr>
              <w:pStyle w:val="Prrafodelista"/>
              <w:numPr>
                <w:ilvl w:val="0"/>
                <w:numId w:val="5"/>
              </w:numPr>
              <w:pBdr>
                <w:top w:val="nil"/>
                <w:left w:val="nil"/>
                <w:bottom w:val="nil"/>
                <w:right w:val="nil"/>
                <w:between w:val="nil"/>
              </w:pBdr>
              <w:ind w:left="306" w:hanging="306"/>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1D2FD8">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35F94F8B" w:rsidR="00A90725" w:rsidRPr="007C54CA" w:rsidRDefault="00632D48" w:rsidP="001D2FD8">
            <w:pPr>
              <w:widowControl w:val="0"/>
              <w:numPr>
                <w:ilvl w:val="0"/>
                <w:numId w:val="5"/>
              </w:numPr>
              <w:pBdr>
                <w:top w:val="nil"/>
                <w:left w:val="nil"/>
                <w:bottom w:val="nil"/>
                <w:right w:val="nil"/>
                <w:between w:val="nil"/>
              </w:pBdr>
              <w:spacing w:after="0" w:line="240" w:lineRule="auto"/>
              <w:ind w:left="459"/>
              <w:rPr>
                <w:b/>
                <w:sz w:val="18"/>
                <w:szCs w:val="18"/>
              </w:rPr>
            </w:pPr>
            <w:r>
              <w:rPr>
                <w:b/>
                <w:sz w:val="18"/>
                <w:szCs w:val="18"/>
              </w:rPr>
              <w:t>Criterio regional:</w:t>
            </w:r>
            <w:r>
              <w:t xml:space="preserve"> </w:t>
            </w:r>
            <w:r w:rsidRPr="00632D48">
              <w:rPr>
                <w:sz w:val="18"/>
                <w:szCs w:val="18"/>
              </w:rPr>
              <w:t>Sectores priorizados Alimentación, Turismo (incluye Industrias creativas (actividades de contenido cultural, artístico o patrimonial)</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14F50FE5" w:rsidR="002A3184" w:rsidRDefault="002A3184">
      <w:pPr>
        <w:rPr>
          <w:sz w:val="20"/>
          <w:szCs w:val="20"/>
        </w:rPr>
      </w:pPr>
    </w:p>
    <w:p w14:paraId="186F860E" w14:textId="77777777" w:rsidR="00141C90" w:rsidRDefault="00141C90">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3BFA2ADC" w:rsidR="002A3184" w:rsidRDefault="002A3184">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77777777" w:rsidR="00321F2E" w:rsidRPr="002A3184" w:rsidRDefault="00321F2E" w:rsidP="00321F2E">
            <w:pPr>
              <w:widowControl w:val="0"/>
              <w:numPr>
                <w:ilvl w:val="0"/>
                <w:numId w:val="22"/>
              </w:numPr>
              <w:spacing w:before="240" w:after="240" w:line="276" w:lineRule="auto"/>
              <w:rPr>
                <w:sz w:val="18"/>
                <w:szCs w:val="18"/>
              </w:rPr>
            </w:pPr>
            <w:r w:rsidRPr="002A3184">
              <w:rPr>
                <w:sz w:val="18"/>
                <w:szCs w:val="18"/>
              </w:rPr>
              <w:t>4.</w:t>
            </w: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1D2FD8" w:rsidRDefault="001D2F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1D2FD8" w:rsidRDefault="001D2F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212A6A">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212A6A">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lastRenderedPageBreak/>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w:t>
            </w:r>
            <w:r w:rsidRPr="003B128A">
              <w:rPr>
                <w:rFonts w:ascii="Calibri" w:hAnsi="Calibri" w:cs="Calibri"/>
              </w:rPr>
              <w:lastRenderedPageBreak/>
              <w:t xml:space="preserve">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1D2FD8" w:rsidRDefault="001D2F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1D2FD8" w:rsidRDefault="001D2F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1D2FD8" w:rsidRDefault="001D2F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1D2FD8" w:rsidRDefault="001D2F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38CF5755" w14:textId="4D0305EC" w:rsidR="00101F46" w:rsidRPr="00EF7916" w:rsidRDefault="00101F46"/>
    <w:p w14:paraId="055618C5" w14:textId="77777777" w:rsidR="00101F46" w:rsidRPr="00EF7916" w:rsidRDefault="00101F46"/>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632D48" w:rsidRPr="00EF7916" w14:paraId="358EC077" w14:textId="77777777" w:rsidTr="001D2FD8">
        <w:trPr>
          <w:trHeight w:val="220"/>
          <w:jc w:val="center"/>
        </w:trPr>
        <w:tc>
          <w:tcPr>
            <w:tcW w:w="8880" w:type="dxa"/>
            <w:gridSpan w:val="2"/>
            <w:shd w:val="clear" w:color="auto" w:fill="FFE599"/>
          </w:tcPr>
          <w:p w14:paraId="0890C97F" w14:textId="6A96216A" w:rsidR="00632D48" w:rsidRPr="00531C53" w:rsidRDefault="00632D48" w:rsidP="00632D48">
            <w:pPr>
              <w:rPr>
                <w:rFonts w:ascii="Calibri" w:hAnsi="Calibri" w:cs="Calibri"/>
              </w:rPr>
            </w:pPr>
            <w:r>
              <w:rPr>
                <w:b/>
              </w:rPr>
              <w:t>9</w:t>
            </w:r>
            <w:r w:rsidRPr="00EF7916">
              <w:rPr>
                <w:b/>
              </w:rPr>
              <w:t>.</w:t>
            </w:r>
            <w:r>
              <w:rPr>
                <w:b/>
              </w:rPr>
              <w:t xml:space="preserve">Criterio Regional: </w:t>
            </w:r>
            <w:r w:rsidRPr="000102FA">
              <w:t>Sectores priorizados Alimentación, Turismo (incluye Industrias creativas (actividades de contenido cultural, artístico o patrimonial)</w:t>
            </w:r>
          </w:p>
        </w:tc>
      </w:tr>
      <w:tr w:rsidR="00632D48" w:rsidRPr="00EF7916" w14:paraId="7F400642" w14:textId="77777777" w:rsidTr="000102FA">
        <w:trPr>
          <w:trHeight w:val="444"/>
          <w:jc w:val="center"/>
        </w:trPr>
        <w:tc>
          <w:tcPr>
            <w:tcW w:w="4449" w:type="dxa"/>
          </w:tcPr>
          <w:p w14:paraId="407A58F7" w14:textId="28BAAA95" w:rsidR="00632D48" w:rsidRPr="00531C53" w:rsidRDefault="00B7754D" w:rsidP="00B7754D">
            <w:pPr>
              <w:jc w:val="center"/>
              <w:rPr>
                <w:rFonts w:ascii="Calibri" w:hAnsi="Calibri" w:cs="Calibri"/>
                <w:sz w:val="20"/>
                <w:szCs w:val="20"/>
              </w:rPr>
            </w:pPr>
            <w:r>
              <w:rPr>
                <w:rFonts w:ascii="Calibri" w:hAnsi="Calibri" w:cs="Calibri"/>
                <w:sz w:val="20"/>
                <w:szCs w:val="20"/>
              </w:rPr>
              <w:t>No incluye</w:t>
            </w:r>
          </w:p>
        </w:tc>
        <w:tc>
          <w:tcPr>
            <w:tcW w:w="4431" w:type="dxa"/>
          </w:tcPr>
          <w:p w14:paraId="30B3DD5D" w14:textId="76B09C43" w:rsidR="00632D48" w:rsidRPr="00531C53" w:rsidRDefault="00B7754D" w:rsidP="00B7754D">
            <w:pPr>
              <w:jc w:val="center"/>
              <w:rPr>
                <w:rFonts w:ascii="Calibri" w:hAnsi="Calibri" w:cs="Calibri"/>
                <w:sz w:val="20"/>
                <w:szCs w:val="20"/>
              </w:rPr>
            </w:pPr>
            <w:r>
              <w:rPr>
                <w:rFonts w:ascii="Calibri" w:hAnsi="Calibri" w:cs="Calibri"/>
                <w:sz w:val="20"/>
                <w:szCs w:val="20"/>
              </w:rPr>
              <w:t>Incluye</w:t>
            </w:r>
          </w:p>
        </w:tc>
      </w:tr>
      <w:tr w:rsidR="00632D48" w:rsidRPr="00EF7916" w14:paraId="1AADC724" w14:textId="77777777" w:rsidTr="001D2FD8">
        <w:trPr>
          <w:trHeight w:val="69"/>
          <w:jc w:val="center"/>
        </w:trPr>
        <w:tc>
          <w:tcPr>
            <w:tcW w:w="4449" w:type="dxa"/>
          </w:tcPr>
          <w:p w14:paraId="563D0B22" w14:textId="5B0B6F1E" w:rsidR="00632D48" w:rsidRPr="00531C53" w:rsidRDefault="00632D48" w:rsidP="001D2FD8">
            <w:pPr>
              <w:jc w:val="center"/>
              <w:rPr>
                <w:rFonts w:ascii="Calibri" w:hAnsi="Calibri" w:cs="Calibri"/>
                <w:b/>
              </w:rPr>
            </w:pPr>
            <w:r>
              <w:rPr>
                <w:b/>
              </w:rPr>
              <w:t>3</w:t>
            </w:r>
          </w:p>
        </w:tc>
        <w:tc>
          <w:tcPr>
            <w:tcW w:w="4431" w:type="dxa"/>
          </w:tcPr>
          <w:p w14:paraId="7EE10C9C" w14:textId="77777777" w:rsidR="00632D48" w:rsidRPr="00531C53" w:rsidRDefault="00632D48" w:rsidP="001D2FD8">
            <w:pPr>
              <w:jc w:val="center"/>
              <w:rPr>
                <w:rFonts w:ascii="Calibri" w:hAnsi="Calibri" w:cs="Calibri"/>
                <w:b/>
              </w:rPr>
            </w:pPr>
            <w:r w:rsidRPr="00EF7916">
              <w:rPr>
                <w:b/>
              </w:rPr>
              <w:t>7</w:t>
            </w:r>
          </w:p>
        </w:tc>
      </w:tr>
    </w:tbl>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212A6A"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212A6A"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212A6A"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212A6A"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212A6A"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212A6A"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212A6A"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212A6A"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212A6A"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212A6A"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212A6A"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212A6A"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212A6A"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212A6A"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212A6A"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212A6A"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212A6A"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212A6A"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212A6A"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212A6A"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212A6A"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212A6A"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212A6A"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9EB2" w14:textId="77777777" w:rsidR="00212A6A" w:rsidRDefault="00212A6A">
      <w:pPr>
        <w:spacing w:after="0" w:line="240" w:lineRule="auto"/>
      </w:pPr>
      <w:r>
        <w:separator/>
      </w:r>
    </w:p>
  </w:endnote>
  <w:endnote w:type="continuationSeparator" w:id="0">
    <w:p w14:paraId="1C2AE7B6" w14:textId="77777777" w:rsidR="00212A6A" w:rsidRDefault="0021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0265E808" w:rsidR="001D2FD8" w:rsidRDefault="001D2F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77328">
      <w:rPr>
        <w:noProof/>
        <w:color w:val="000000"/>
      </w:rPr>
      <w:t>19</w:t>
    </w:r>
    <w:r>
      <w:rPr>
        <w:color w:val="000000"/>
      </w:rPr>
      <w:fldChar w:fldCharType="end"/>
    </w:r>
  </w:p>
  <w:p w14:paraId="7AC0AC01" w14:textId="77777777" w:rsidR="001D2FD8" w:rsidRDefault="001D2F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6F4D" w14:textId="77777777" w:rsidR="00212A6A" w:rsidRDefault="00212A6A">
      <w:pPr>
        <w:spacing w:after="0" w:line="240" w:lineRule="auto"/>
      </w:pPr>
      <w:r>
        <w:separator/>
      </w:r>
    </w:p>
  </w:footnote>
  <w:footnote w:type="continuationSeparator" w:id="0">
    <w:p w14:paraId="31AA905F" w14:textId="77777777" w:rsidR="00212A6A" w:rsidRDefault="00212A6A">
      <w:pPr>
        <w:spacing w:after="0" w:line="240" w:lineRule="auto"/>
      </w:pPr>
      <w:r>
        <w:continuationSeparator/>
      </w:r>
    </w:p>
  </w:footnote>
  <w:footnote w:id="1">
    <w:p w14:paraId="7697D4C1" w14:textId="77777777" w:rsidR="001D2FD8" w:rsidRPr="00531C53" w:rsidRDefault="001D2F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1D2FD8" w:rsidRDefault="001D2F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1D2FD8" w:rsidRPr="005E7349" w:rsidRDefault="001D2F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1D2FD8" w:rsidRPr="00322E69" w:rsidRDefault="001D2F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1D2FD8" w:rsidRPr="00531C53" w:rsidRDefault="001D2F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1D2FD8" w:rsidRPr="005E7349" w:rsidRDefault="001D2F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1D2FD8" w:rsidRPr="00531C53" w:rsidRDefault="001D2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1D2FD8" w:rsidRPr="00531C53" w:rsidRDefault="001D2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1D2FD8" w:rsidRDefault="001D2F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1D2FD8" w:rsidRDefault="001D2F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1D2FD8" w:rsidRDefault="001D2FD8"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1D2FD8" w:rsidRPr="00F25468" w:rsidRDefault="001D2F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1D2FD8" w:rsidRDefault="001D2FD8">
      <w:pPr>
        <w:pStyle w:val="Textonotapie"/>
      </w:pPr>
    </w:p>
  </w:footnote>
  <w:footnote w:id="13">
    <w:p w14:paraId="0209B054" w14:textId="77777777" w:rsidR="001D2FD8" w:rsidRDefault="001D2F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1D2FD8" w:rsidRDefault="001D2F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1D2FD8" w:rsidRDefault="001D2F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1D2FD8" w:rsidRDefault="001D2F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1D2FD8" w:rsidRDefault="001D2F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102FA"/>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1C90"/>
    <w:rsid w:val="00147CE3"/>
    <w:rsid w:val="00150647"/>
    <w:rsid w:val="00151349"/>
    <w:rsid w:val="00163A9C"/>
    <w:rsid w:val="00164306"/>
    <w:rsid w:val="001672C8"/>
    <w:rsid w:val="00170B20"/>
    <w:rsid w:val="00176FE4"/>
    <w:rsid w:val="00183E00"/>
    <w:rsid w:val="00193BCA"/>
    <w:rsid w:val="001A053E"/>
    <w:rsid w:val="001A411A"/>
    <w:rsid w:val="001B1512"/>
    <w:rsid w:val="001B358D"/>
    <w:rsid w:val="001C11C4"/>
    <w:rsid w:val="001D2FD8"/>
    <w:rsid w:val="001D3F28"/>
    <w:rsid w:val="001D5F27"/>
    <w:rsid w:val="001E6FE4"/>
    <w:rsid w:val="001E7D8C"/>
    <w:rsid w:val="001F4789"/>
    <w:rsid w:val="00204907"/>
    <w:rsid w:val="0020514C"/>
    <w:rsid w:val="00212A6A"/>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70F"/>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32D48"/>
    <w:rsid w:val="00646824"/>
    <w:rsid w:val="00662C37"/>
    <w:rsid w:val="006703A2"/>
    <w:rsid w:val="0067206E"/>
    <w:rsid w:val="00677328"/>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0845"/>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0DFC"/>
    <w:rsid w:val="00B11F36"/>
    <w:rsid w:val="00B17135"/>
    <w:rsid w:val="00B17A1E"/>
    <w:rsid w:val="00B32EEA"/>
    <w:rsid w:val="00B34A5A"/>
    <w:rsid w:val="00B4180D"/>
    <w:rsid w:val="00B44E76"/>
    <w:rsid w:val="00B45177"/>
    <w:rsid w:val="00B5049E"/>
    <w:rsid w:val="00B50F94"/>
    <w:rsid w:val="00B524A5"/>
    <w:rsid w:val="00B63836"/>
    <w:rsid w:val="00B75BB4"/>
    <w:rsid w:val="00B7754D"/>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004A"/>
    <w:rsid w:val="00C54160"/>
    <w:rsid w:val="00C56706"/>
    <w:rsid w:val="00C603E7"/>
    <w:rsid w:val="00C62CB1"/>
    <w:rsid w:val="00C63953"/>
    <w:rsid w:val="00C644A4"/>
    <w:rsid w:val="00C723BD"/>
    <w:rsid w:val="00C77487"/>
    <w:rsid w:val="00C80855"/>
    <w:rsid w:val="00C8429F"/>
    <w:rsid w:val="00C852FC"/>
    <w:rsid w:val="00C86702"/>
    <w:rsid w:val="00C92F97"/>
    <w:rsid w:val="00CA34D7"/>
    <w:rsid w:val="00CB1D37"/>
    <w:rsid w:val="00CC47BF"/>
    <w:rsid w:val="00CC5AD8"/>
    <w:rsid w:val="00CD2D48"/>
    <w:rsid w:val="00CD5DCC"/>
    <w:rsid w:val="00CE1604"/>
    <w:rsid w:val="00CE3BB9"/>
    <w:rsid w:val="00CF6F02"/>
    <w:rsid w:val="00D01D45"/>
    <w:rsid w:val="00D0213A"/>
    <w:rsid w:val="00D11B5C"/>
    <w:rsid w:val="00D12963"/>
    <w:rsid w:val="00D15F03"/>
    <w:rsid w:val="00D17CDB"/>
    <w:rsid w:val="00D26724"/>
    <w:rsid w:val="00D30452"/>
    <w:rsid w:val="00D31494"/>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396"/>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F94892-9825-4062-9793-B0546A3E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51</Pages>
  <Words>15502</Words>
  <Characters>85264</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39</cp:revision>
  <dcterms:created xsi:type="dcterms:W3CDTF">2024-02-27T12:02:00Z</dcterms:created>
  <dcterms:modified xsi:type="dcterms:W3CDTF">2024-02-29T23:52:00Z</dcterms:modified>
</cp:coreProperties>
</file>