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bookmarkStart w:id="0" w:name="_GoBack"/>
      <w:bookmarkEnd w:id="0"/>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1580DF6C" w:rsidR="003C16C8" w:rsidRDefault="000C75A3">
      <w:pPr>
        <w:jc w:val="center"/>
        <w:rPr>
          <w:b/>
          <w:sz w:val="24"/>
          <w:szCs w:val="24"/>
        </w:rPr>
      </w:pPr>
      <w:r>
        <w:rPr>
          <w:b/>
          <w:sz w:val="32"/>
          <w:szCs w:val="32"/>
        </w:rPr>
        <w:t xml:space="preserve">REGIÓN </w:t>
      </w:r>
      <w:r w:rsidR="003E7264">
        <w:rPr>
          <w:b/>
          <w:sz w:val="32"/>
          <w:szCs w:val="32"/>
        </w:rPr>
        <w:t xml:space="preserve">DE MAGALLANES </w:t>
      </w:r>
      <w:r>
        <w:rPr>
          <w:b/>
          <w:sz w:val="32"/>
          <w:szCs w:val="32"/>
        </w:rPr>
        <w:t xml:space="preserve">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2" w:name="_heading=h.6kyv2soaymcc" w:colFirst="0" w:colLast="0"/>
      <w:bookmarkEnd w:id="2"/>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3" w:name="_heading=h.bivwgucx1b3t" w:colFirst="0" w:colLast="0"/>
      <w:bookmarkEnd w:id="3"/>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4" w:name="_heading=h.3znysh7" w:colFirst="0" w:colLast="0"/>
      <w:bookmarkEnd w:id="4"/>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5" w:name="_heading=h.1fob9te" w:colFirst="0" w:colLast="0"/>
            <w:bookmarkEnd w:id="5"/>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C95EF6"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C95EF6"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C95EF6"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C95EF6"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C95EF6"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C95EF6"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C95EF6"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C95EF6"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C95EF6"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C95EF6"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C95EF6"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C95EF6"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C95EF6"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C95EF6"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C95EF6"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C95EF6"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C95EF6"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C95EF6"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C95EF6"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C95EF6"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C95EF6"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6" w:name="_heading=h.njlsxns9sz79" w:colFirst="0" w:colLast="0"/>
      <w:bookmarkEnd w:id="6"/>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C95EF6">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1DE54156" w:rsidR="002C639A" w:rsidRPr="000C75A3" w:rsidRDefault="000C555B" w:rsidP="008D42F0">
            <w:pPr>
              <w:spacing w:after="0" w:line="240" w:lineRule="auto"/>
              <w:rPr>
                <w:sz w:val="18"/>
                <w:szCs w:val="18"/>
              </w:rPr>
            </w:pPr>
            <w:r w:rsidRPr="000C75A3">
              <w:rPr>
                <w:b/>
                <w:sz w:val="18"/>
                <w:szCs w:val="18"/>
              </w:rPr>
              <w:t>7.Criterio regional</w:t>
            </w:r>
            <w:r w:rsidR="00865EE6" w:rsidRPr="000C75A3">
              <w:rPr>
                <w:b/>
                <w:sz w:val="18"/>
                <w:szCs w:val="18"/>
              </w:rPr>
              <w:t xml:space="preserve">: </w:t>
            </w:r>
            <w:r w:rsidR="008D42F0" w:rsidRPr="008D42F0">
              <w:rPr>
                <w:sz w:val="18"/>
                <w:szCs w:val="18"/>
              </w:rPr>
              <w:t>Focalización Territorial de la Cooperativa: el grupo pre-cooperativo se encontrará localizado en alguna de las siguientes comunas: Timaukel, Río Verde, Laguna Blanca, Torres del Paine, Cabo de Hornos, Primavera, San Gregorio y Porvenir</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7" w:name="_heading=h.81qppgch84l5" w:colFirst="0" w:colLast="0"/>
            <w:bookmarkEnd w:id="7"/>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8" w:name="_heading=h.gjdgxs" w:colFirst="0" w:colLast="0"/>
            <w:bookmarkEnd w:id="8"/>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9" w:name="_heading=h.km0yhutoql3z" w:colFirst="0" w:colLast="0"/>
      <w:bookmarkEnd w:id="9"/>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10" w:name="_heading=h.xqwnpuldho7o" w:colFirst="0" w:colLast="0"/>
      <w:bookmarkEnd w:id="10"/>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1" w:name="_heading=h.hrn4ninvqozq" w:colFirst="0" w:colLast="0"/>
      <w:bookmarkEnd w:id="11"/>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2" w:name="_heading=h.wb8z35akgw2h" w:colFirst="0" w:colLast="0"/>
      <w:bookmarkEnd w:id="12"/>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3" w:name="_heading=h.khckkctbwvnt" w:colFirst="0" w:colLast="0"/>
      <w:bookmarkEnd w:id="13"/>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4" w:name="_heading=h.945dh0ab7nva" w:colFirst="0" w:colLast="0"/>
      <w:bookmarkEnd w:id="14"/>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5" w:name="_heading=h.s0yp39w1lkjo" w:colFirst="0" w:colLast="0"/>
      <w:bookmarkEnd w:id="15"/>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6" w:name="_heading=h.iaoo8m96njy" w:colFirst="0" w:colLast="0"/>
      <w:bookmarkEnd w:id="16"/>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7" w:name="_heading=h.10wftlungw5g" w:colFirst="0" w:colLast="0"/>
      <w:bookmarkEnd w:id="17"/>
      <w:r>
        <w:br w:type="page"/>
      </w:r>
    </w:p>
    <w:p w14:paraId="13A35909" w14:textId="77777777" w:rsidR="003C16C8" w:rsidRDefault="00421E2C">
      <w:pPr>
        <w:keepNext/>
        <w:keepLines/>
        <w:spacing w:before="240" w:after="0"/>
        <w:jc w:val="center"/>
        <w:rPr>
          <w:b/>
          <w:sz w:val="26"/>
          <w:szCs w:val="26"/>
        </w:rPr>
      </w:pPr>
      <w:bookmarkStart w:id="18" w:name="_heading=h.mgu52pf5xnre" w:colFirst="0" w:colLast="0"/>
      <w:bookmarkEnd w:id="18"/>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E7264" w14:paraId="22F6AA64" w14:textId="77777777" w:rsidTr="00507C86">
        <w:trPr>
          <w:trHeight w:val="220"/>
          <w:jc w:val="center"/>
        </w:trPr>
        <w:tc>
          <w:tcPr>
            <w:tcW w:w="8880" w:type="dxa"/>
            <w:gridSpan w:val="2"/>
            <w:shd w:val="clear" w:color="auto" w:fill="FFE599"/>
          </w:tcPr>
          <w:p w14:paraId="6C0550B9" w14:textId="766BE011" w:rsidR="003E7264" w:rsidRDefault="003E7264" w:rsidP="003E7264">
            <w:r>
              <w:rPr>
                <w:b/>
              </w:rPr>
              <w:t xml:space="preserve">9. Criterio Regional: </w:t>
            </w:r>
            <w:r w:rsidRPr="003E7264">
              <w:rPr>
                <w:b/>
              </w:rPr>
              <w:t>Focalización Territorial de la Cooperativa: el grupo pre-cooperativo se encontrará localizado en alguna de las siguientes comunas: Timaukel, Río Verde, Laguna Blanca, Torres del Paine, Cabo de Hornos, Primavera, San Gregorio y Porvenir</w:t>
            </w:r>
          </w:p>
        </w:tc>
      </w:tr>
      <w:tr w:rsidR="003E7264" w14:paraId="58C0E898" w14:textId="77777777" w:rsidTr="00507C86">
        <w:trPr>
          <w:trHeight w:val="737"/>
          <w:jc w:val="center"/>
        </w:trPr>
        <w:tc>
          <w:tcPr>
            <w:tcW w:w="4449" w:type="dxa"/>
          </w:tcPr>
          <w:p w14:paraId="6BF3886E" w14:textId="0B7A65D1" w:rsidR="003E7264" w:rsidRDefault="003E7264" w:rsidP="003E7264">
            <w:r>
              <w:t xml:space="preserve">No Pertenece a la Focalización Territorial </w:t>
            </w:r>
          </w:p>
        </w:tc>
        <w:tc>
          <w:tcPr>
            <w:tcW w:w="4431" w:type="dxa"/>
          </w:tcPr>
          <w:p w14:paraId="78C5D673" w14:textId="1C597C93" w:rsidR="003E7264" w:rsidRDefault="003E7264" w:rsidP="00507C86">
            <w:r>
              <w:t xml:space="preserve">Pertenece a la focalización Territorial </w:t>
            </w:r>
          </w:p>
        </w:tc>
      </w:tr>
      <w:tr w:rsidR="003E7264" w14:paraId="143CF081" w14:textId="77777777" w:rsidTr="00507C86">
        <w:trPr>
          <w:trHeight w:val="69"/>
          <w:jc w:val="center"/>
        </w:trPr>
        <w:tc>
          <w:tcPr>
            <w:tcW w:w="4449" w:type="dxa"/>
          </w:tcPr>
          <w:p w14:paraId="7BA801EE" w14:textId="77777777" w:rsidR="003E7264" w:rsidRDefault="003E7264" w:rsidP="00507C86">
            <w:pPr>
              <w:jc w:val="center"/>
              <w:rPr>
                <w:b/>
              </w:rPr>
            </w:pPr>
            <w:r>
              <w:rPr>
                <w:b/>
              </w:rPr>
              <w:t>3</w:t>
            </w:r>
          </w:p>
        </w:tc>
        <w:tc>
          <w:tcPr>
            <w:tcW w:w="4431" w:type="dxa"/>
          </w:tcPr>
          <w:p w14:paraId="775F0B2F" w14:textId="77777777" w:rsidR="003E7264" w:rsidRDefault="003E7264" w:rsidP="00507C86">
            <w:pPr>
              <w:jc w:val="center"/>
              <w:rPr>
                <w:b/>
              </w:rPr>
            </w:pPr>
            <w:r>
              <w:rPr>
                <w:b/>
              </w:rPr>
              <w:t>7</w:t>
            </w:r>
          </w:p>
        </w:tc>
      </w:tr>
    </w:tbl>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296D7CDE" w14:textId="10FFCB2F" w:rsidR="007B1F83" w:rsidRDefault="007B1F83" w:rsidP="00AB79AB">
      <w:pPr>
        <w:keepNext/>
        <w:keepLines/>
        <w:spacing w:before="240" w:after="0"/>
        <w:rPr>
          <w:b/>
          <w:sz w:val="26"/>
          <w:szCs w:val="26"/>
        </w:rPr>
      </w:pPr>
    </w:p>
    <w:p w14:paraId="40228019" w14:textId="77777777" w:rsidR="007B1F83" w:rsidRDefault="007B1F83"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C95EF6"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C95EF6"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C95EF6"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C95EF6"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C95EF6"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C95EF6"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C95EF6"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C95EF6"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C95EF6"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C95EF6"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C95EF6"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C95EF6"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C95EF6"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C95EF6"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C95EF6"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C95EF6"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C95EF6"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C95EF6"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C95EF6"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C95EF6"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C95EF6"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C95EF6"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C95EF6"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1BEC8" w14:textId="77777777" w:rsidR="00C95EF6" w:rsidRDefault="00C95EF6">
      <w:pPr>
        <w:spacing w:after="0" w:line="240" w:lineRule="auto"/>
      </w:pPr>
      <w:r>
        <w:separator/>
      </w:r>
    </w:p>
  </w:endnote>
  <w:endnote w:type="continuationSeparator" w:id="0">
    <w:p w14:paraId="684CE0FF" w14:textId="77777777" w:rsidR="00C95EF6" w:rsidRDefault="00C9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504B61FD"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3B45">
      <w:rPr>
        <w:noProof/>
        <w:color w:val="000000"/>
      </w:rPr>
      <w:t>20</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3ECC" w14:textId="77777777" w:rsidR="00C95EF6" w:rsidRDefault="00C95EF6">
      <w:pPr>
        <w:spacing w:after="0" w:line="240" w:lineRule="auto"/>
      </w:pPr>
      <w:r>
        <w:separator/>
      </w:r>
    </w:p>
  </w:footnote>
  <w:footnote w:type="continuationSeparator" w:id="0">
    <w:p w14:paraId="57C3FDD3" w14:textId="77777777" w:rsidR="00C95EF6" w:rsidRDefault="00C95EF6">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1" w:name="_heading=h.30j0zll" w:colFirst="0" w:colLast="0"/>
      <w:bookmarkEnd w:id="1"/>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C75A3"/>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E72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1F83"/>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D42F0"/>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56094"/>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3B45"/>
    <w:rsid w:val="00C66636"/>
    <w:rsid w:val="00C835BA"/>
    <w:rsid w:val="00C85E19"/>
    <w:rsid w:val="00C871E0"/>
    <w:rsid w:val="00C87917"/>
    <w:rsid w:val="00C902CE"/>
    <w:rsid w:val="00C920CB"/>
    <w:rsid w:val="00C95EF6"/>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A61D0"/>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505756-BA6D-4086-9A41-3A9DB220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16466</Words>
  <Characters>90564</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2</cp:revision>
  <dcterms:created xsi:type="dcterms:W3CDTF">2024-03-01T11:42:00Z</dcterms:created>
  <dcterms:modified xsi:type="dcterms:W3CDTF">2024-03-01T11:42:00Z</dcterms:modified>
</cp:coreProperties>
</file>