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4101D407"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E910B2">
        <w:rPr>
          <w:rFonts w:ascii="Arial" w:eastAsia="Arial" w:hAnsi="Arial" w:cs="Arial"/>
          <w:b/>
        </w:rPr>
        <w:t>L BIOBÍO</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9D2E37" w14:paraId="52413B62" w14:textId="77777777" w:rsidTr="00D05338">
        <w:trPr>
          <w:trHeight w:val="680"/>
        </w:trPr>
        <w:tc>
          <w:tcPr>
            <w:tcW w:w="5949" w:type="dxa"/>
          </w:tcPr>
          <w:p w14:paraId="4338BC72" w14:textId="7D3BF7A7" w:rsidR="009D2E37" w:rsidRPr="009D2E37" w:rsidRDefault="009D2E37" w:rsidP="004C1EE0">
            <w:pPr>
              <w:pStyle w:val="Prrafodelista"/>
              <w:numPr>
                <w:ilvl w:val="0"/>
                <w:numId w:val="1"/>
              </w:numPr>
              <w:jc w:val="both"/>
              <w:rPr>
                <w:rFonts w:ascii="gobCL" w:eastAsia="gobCL" w:hAnsi="gobCL" w:cs="gobCL"/>
                <w:color w:val="000000"/>
                <w:sz w:val="20"/>
                <w:szCs w:val="20"/>
              </w:rPr>
            </w:pPr>
            <w:r w:rsidRPr="009D2E37">
              <w:rPr>
                <w:rFonts w:ascii="gobCL" w:eastAsia="gobCL" w:hAnsi="gobCL" w:cs="gobCL"/>
                <w:color w:val="000000"/>
                <w:sz w:val="20"/>
                <w:szCs w:val="20"/>
              </w:rPr>
              <w:lastRenderedPageBreak/>
              <w:t xml:space="preserve">No ser beneficiario del Programa Kit de </w:t>
            </w:r>
            <w:proofErr w:type="spellStart"/>
            <w:r w:rsidRPr="009D2E37">
              <w:rPr>
                <w:rFonts w:ascii="gobCL" w:eastAsia="gobCL" w:hAnsi="gobCL" w:cs="gobCL"/>
                <w:color w:val="000000"/>
                <w:sz w:val="20"/>
                <w:szCs w:val="20"/>
              </w:rPr>
              <w:t>San</w:t>
            </w:r>
            <w:r w:rsidR="00ED220A">
              <w:rPr>
                <w:rFonts w:ascii="gobCL" w:eastAsia="gobCL" w:hAnsi="gobCL" w:cs="gobCL"/>
                <w:color w:val="000000"/>
                <w:sz w:val="20"/>
                <w:szCs w:val="20"/>
              </w:rPr>
              <w:t>i</w:t>
            </w:r>
            <w:r w:rsidRPr="009D2E37">
              <w:rPr>
                <w:rFonts w:ascii="gobCL" w:eastAsia="gobCL" w:hAnsi="gobCL" w:cs="gobCL"/>
                <w:color w:val="000000"/>
                <w:sz w:val="20"/>
                <w:szCs w:val="20"/>
              </w:rPr>
              <w:t>tización</w:t>
            </w:r>
            <w:proofErr w:type="spellEnd"/>
            <w:r w:rsidRPr="009D2E37">
              <w:rPr>
                <w:rFonts w:ascii="gobCL" w:eastAsia="gobCL" w:hAnsi="gobCL" w:cs="gobCL"/>
                <w:color w:val="000000"/>
                <w:sz w:val="20"/>
                <w:szCs w:val="20"/>
              </w:rPr>
              <w:t xml:space="preserve"> para Ferias Libres 2020 </w:t>
            </w:r>
          </w:p>
        </w:tc>
        <w:tc>
          <w:tcPr>
            <w:tcW w:w="3940" w:type="dxa"/>
            <w:vAlign w:val="center"/>
          </w:tcPr>
          <w:p w14:paraId="72A22A64" w14:textId="77777777" w:rsidR="009D2E37" w:rsidRDefault="00FC539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77777777" w:rsidR="004C1EE0" w:rsidRDefault="004C1EE0">
      <w:pPr>
        <w:pStyle w:val="Ttulo1"/>
        <w:spacing w:before="0" w:line="360" w:lineRule="auto"/>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1F501F6D" w:rsidR="004C1EE0" w:rsidRPr="004C1EE0" w:rsidRDefault="00981E83" w:rsidP="00D83908">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D83908">
              <w:rPr>
                <w:rFonts w:ascii="gobCL" w:eastAsia="gobCL" w:hAnsi="gobCL" w:cs="gobCL"/>
                <w:color w:val="000000"/>
                <w:sz w:val="20"/>
                <w:szCs w:val="20"/>
              </w:rPr>
              <w:t>0</w:t>
            </w:r>
            <w:bookmarkStart w:id="2" w:name="_GoBack"/>
            <w:bookmarkEnd w:id="2"/>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598BDED9" w:rsidR="00302536" w:rsidRPr="00D5739A" w:rsidRDefault="00302536" w:rsidP="00D5739A">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 xml:space="preserve">Ser un grupo de </w:t>
            </w:r>
            <w:r w:rsidR="00D83908">
              <w:rPr>
                <w:rFonts w:ascii="gobCL" w:eastAsia="gobCL" w:hAnsi="gobCL" w:cs="gobCL"/>
                <w:color w:val="000000"/>
                <w:sz w:val="20"/>
                <w:szCs w:val="20"/>
              </w:rPr>
              <w:t>al menos 10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3534"/>
        <w:gridCol w:w="3402"/>
        <w:gridCol w:w="3402"/>
      </w:tblGrid>
      <w:tr w:rsidR="00794376" w:rsidRPr="00794376" w14:paraId="6D8E56A8"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A280D2C" w14:textId="0F2AD511" w:rsidR="00794376" w:rsidRPr="00794376" w:rsidRDefault="00794376" w:rsidP="00794376">
            <w:pPr>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6 (20</w:t>
            </w:r>
            <w:r w:rsidR="00863F65">
              <w:rPr>
                <w:rFonts w:ascii="gobCL" w:eastAsia="gobCL" w:hAnsi="gobCL" w:cs="gobCL"/>
                <w:b/>
              </w:rPr>
              <w:t xml:space="preserve">%). </w:t>
            </w:r>
            <w:r w:rsidR="00863F65" w:rsidRPr="00863F65">
              <w:rPr>
                <w:rFonts w:ascii="gobCL" w:eastAsia="gobCL" w:hAnsi="gobCL" w:cs="gobCL"/>
                <w:b/>
              </w:rPr>
              <w:t>Días de funcionamiento de la feria o barrio Comercial</w:t>
            </w:r>
          </w:p>
        </w:tc>
      </w:tr>
      <w:tr w:rsidR="00794376" w:rsidRPr="00794376" w14:paraId="603AF9F0"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089F5236" w14:textId="299327CC" w:rsidR="00794376" w:rsidRPr="00794376" w:rsidRDefault="00863F65" w:rsidP="00794376">
            <w:pPr>
              <w:jc w:val="both"/>
              <w:rPr>
                <w:rFonts w:ascii="gobCL" w:eastAsia="gobCL" w:hAnsi="gobCL" w:cs="gobCL"/>
                <w:color w:val="000080"/>
                <w:sz w:val="18"/>
                <w:szCs w:val="18"/>
                <w:highlight w:val="yellow"/>
              </w:rPr>
            </w:pPr>
            <w:r w:rsidRPr="00863F65">
              <w:rPr>
                <w:rFonts w:ascii="gobCL" w:eastAsia="gobCL" w:hAnsi="gobCL" w:cs="gobCL"/>
                <w:color w:val="000080"/>
                <w:sz w:val="18"/>
                <w:szCs w:val="18"/>
              </w:rPr>
              <w:t>La Feria o Barrio Comercial funciona un día a la semana</w:t>
            </w:r>
            <w:r>
              <w:rPr>
                <w:rFonts w:ascii="gobCL" w:eastAsia="gobCL" w:hAnsi="gobCL" w:cs="gobCL"/>
                <w:color w:val="000080"/>
                <w:sz w:val="18"/>
                <w:szCs w:val="18"/>
              </w:rPr>
              <w:t>.</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632199BD" w14:textId="2D296232" w:rsidR="00794376" w:rsidRPr="00794376" w:rsidRDefault="00863F65" w:rsidP="00863F65">
            <w:pPr>
              <w:jc w:val="both"/>
              <w:rPr>
                <w:rFonts w:ascii="gobCL" w:eastAsia="gobCL" w:hAnsi="gobCL" w:cs="gobCL"/>
                <w:color w:val="000080"/>
                <w:sz w:val="18"/>
                <w:szCs w:val="18"/>
                <w:highlight w:val="yellow"/>
              </w:rPr>
            </w:pPr>
            <w:r w:rsidRPr="00863F65">
              <w:rPr>
                <w:rFonts w:ascii="gobCL" w:eastAsia="gobCL" w:hAnsi="gobCL" w:cs="gobCL"/>
                <w:color w:val="000080"/>
                <w:sz w:val="18"/>
                <w:szCs w:val="18"/>
              </w:rPr>
              <w:t xml:space="preserve">La Feria o Barrio Comercial funciona entre dos y </w:t>
            </w:r>
            <w:r>
              <w:rPr>
                <w:rFonts w:ascii="gobCL" w:eastAsia="gobCL" w:hAnsi="gobCL" w:cs="gobCL"/>
                <w:color w:val="000080"/>
                <w:sz w:val="18"/>
                <w:szCs w:val="18"/>
              </w:rPr>
              <w:t>cuatro</w:t>
            </w:r>
            <w:r w:rsidRPr="00863F65">
              <w:rPr>
                <w:rFonts w:ascii="gobCL" w:eastAsia="gobCL" w:hAnsi="gobCL" w:cs="gobCL"/>
                <w:color w:val="000080"/>
                <w:sz w:val="18"/>
                <w:szCs w:val="18"/>
              </w:rPr>
              <w:t xml:space="preserve"> días a  la semana</w:t>
            </w:r>
            <w:r>
              <w:rPr>
                <w:rFonts w:ascii="gobCL" w:eastAsia="gobCL" w:hAnsi="gobCL" w:cs="gobCL"/>
                <w:color w:val="000080"/>
                <w:sz w:val="18"/>
                <w:szCs w:val="18"/>
              </w:rPr>
              <w:t>.</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B13C360" w14:textId="1E1AE08C" w:rsidR="00794376" w:rsidRPr="00794376" w:rsidRDefault="00863F65" w:rsidP="00794376">
            <w:pPr>
              <w:jc w:val="both"/>
              <w:rPr>
                <w:rFonts w:ascii="gobCL" w:eastAsia="gobCL" w:hAnsi="gobCL" w:cs="gobCL"/>
                <w:color w:val="000080"/>
                <w:sz w:val="18"/>
                <w:szCs w:val="18"/>
                <w:highlight w:val="yellow"/>
              </w:rPr>
            </w:pPr>
            <w:r w:rsidRPr="00863F65">
              <w:rPr>
                <w:rFonts w:ascii="gobCL" w:eastAsia="gobCL" w:hAnsi="gobCL" w:cs="gobCL"/>
                <w:color w:val="000080"/>
                <w:sz w:val="18"/>
                <w:szCs w:val="18"/>
              </w:rPr>
              <w:t>La Feria o Barrio Comercial funciona cinco o más días a la semana</w:t>
            </w:r>
            <w:r>
              <w:rPr>
                <w:rFonts w:ascii="gobCL" w:eastAsia="gobCL" w:hAnsi="gobCL" w:cs="gobCL"/>
                <w:color w:val="000080"/>
                <w:sz w:val="18"/>
                <w:szCs w:val="18"/>
              </w:rPr>
              <w:t>.</w:t>
            </w:r>
          </w:p>
        </w:tc>
      </w:tr>
      <w:tr w:rsidR="00794376" w:rsidRPr="00794376" w14:paraId="07BCA12B"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519351A4"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BAFD82C"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404D06C"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58FD0" w14:textId="77777777" w:rsidR="005634A9" w:rsidRDefault="005634A9">
      <w:pPr>
        <w:spacing w:after="0" w:line="240" w:lineRule="auto"/>
      </w:pPr>
      <w:r>
        <w:separator/>
      </w:r>
    </w:p>
  </w:endnote>
  <w:endnote w:type="continuationSeparator" w:id="0">
    <w:p w14:paraId="79FF02EF" w14:textId="77777777" w:rsidR="005634A9" w:rsidRDefault="0056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7C47F3E3"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83908">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B2356" w14:textId="77777777" w:rsidR="005634A9" w:rsidRDefault="005634A9">
      <w:pPr>
        <w:spacing w:after="0" w:line="240" w:lineRule="auto"/>
      </w:pPr>
      <w:r>
        <w:separator/>
      </w:r>
    </w:p>
  </w:footnote>
  <w:footnote w:type="continuationSeparator" w:id="0">
    <w:p w14:paraId="3619C34E" w14:textId="77777777" w:rsidR="005634A9" w:rsidRDefault="00563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63BE2"/>
    <w:rsid w:val="001A7686"/>
    <w:rsid w:val="002376A8"/>
    <w:rsid w:val="002B4037"/>
    <w:rsid w:val="002F2A9F"/>
    <w:rsid w:val="00302536"/>
    <w:rsid w:val="003C2F5C"/>
    <w:rsid w:val="003D184F"/>
    <w:rsid w:val="00455F0B"/>
    <w:rsid w:val="004632EB"/>
    <w:rsid w:val="004C1EE0"/>
    <w:rsid w:val="004C2F5E"/>
    <w:rsid w:val="00550B48"/>
    <w:rsid w:val="005634A9"/>
    <w:rsid w:val="00616651"/>
    <w:rsid w:val="0061746C"/>
    <w:rsid w:val="006240B0"/>
    <w:rsid w:val="00630537"/>
    <w:rsid w:val="00644A17"/>
    <w:rsid w:val="006670B6"/>
    <w:rsid w:val="00675FE2"/>
    <w:rsid w:val="006C1689"/>
    <w:rsid w:val="006D26E9"/>
    <w:rsid w:val="006D75CE"/>
    <w:rsid w:val="00706A51"/>
    <w:rsid w:val="00783A52"/>
    <w:rsid w:val="00794376"/>
    <w:rsid w:val="00845378"/>
    <w:rsid w:val="00863F65"/>
    <w:rsid w:val="0087660D"/>
    <w:rsid w:val="0089203D"/>
    <w:rsid w:val="008F2543"/>
    <w:rsid w:val="00922624"/>
    <w:rsid w:val="0096277B"/>
    <w:rsid w:val="00970AE2"/>
    <w:rsid w:val="00981E83"/>
    <w:rsid w:val="009D2E37"/>
    <w:rsid w:val="00A237B6"/>
    <w:rsid w:val="00A56698"/>
    <w:rsid w:val="00A92952"/>
    <w:rsid w:val="00AD30A5"/>
    <w:rsid w:val="00AE72E6"/>
    <w:rsid w:val="00B42E85"/>
    <w:rsid w:val="00B46567"/>
    <w:rsid w:val="00B83DC7"/>
    <w:rsid w:val="00B85382"/>
    <w:rsid w:val="00B85922"/>
    <w:rsid w:val="00BE31B4"/>
    <w:rsid w:val="00C85F27"/>
    <w:rsid w:val="00CE797A"/>
    <w:rsid w:val="00D05338"/>
    <w:rsid w:val="00D5739A"/>
    <w:rsid w:val="00D83908"/>
    <w:rsid w:val="00D97E5A"/>
    <w:rsid w:val="00E65FA0"/>
    <w:rsid w:val="00E910B2"/>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3D50F5-4866-4B35-892C-1E061320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3253</Words>
  <Characters>17894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6</cp:revision>
  <dcterms:created xsi:type="dcterms:W3CDTF">2020-09-28T13:56:00Z</dcterms:created>
  <dcterms:modified xsi:type="dcterms:W3CDTF">2020-11-11T14:04:00Z</dcterms:modified>
</cp:coreProperties>
</file>