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27C19979" w:rsidR="000877EF" w:rsidRDefault="00F83C9A">
      <w:pPr>
        <w:spacing w:line="276" w:lineRule="auto"/>
        <w:ind w:left="2627" w:right="2628"/>
        <w:jc w:val="center"/>
        <w:rPr>
          <w:b/>
        </w:rPr>
      </w:pPr>
      <w:r>
        <w:rPr>
          <w:b/>
        </w:rPr>
        <w:t xml:space="preserve">REGIÓN </w:t>
      </w:r>
      <w:r w:rsidR="00C8108D">
        <w:rPr>
          <w:b/>
        </w:rPr>
        <w:t>DE LOS LAGOS</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1A078D42"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3AF0B9D9" w:rsidR="008030A4" w:rsidRPr="00607F5E" w:rsidRDefault="004311D0">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14AF219C"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764C1DFF" w:rsidR="008030A4" w:rsidRPr="00607F5E" w:rsidRDefault="004311D0">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2D0AB399"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797331FD" w:rsidR="008030A4" w:rsidRPr="00607F5E" w:rsidRDefault="004311D0"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70CD44DD"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FE77CC">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41D5A805"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FE77CC">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4B8AAF32"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FE77CC">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4B961F3D" w:rsidR="000877EF" w:rsidRPr="00A944A4" w:rsidRDefault="0039498A" w:rsidP="00A944A4">
      <w:pPr>
        <w:pBdr>
          <w:top w:val="nil"/>
          <w:left w:val="nil"/>
          <w:bottom w:val="nil"/>
          <w:right w:val="nil"/>
          <w:between w:val="nil"/>
        </w:pBdr>
        <w:spacing w:line="276" w:lineRule="auto"/>
        <w:jc w:val="both"/>
        <w:rPr>
          <w:color w:val="000000"/>
        </w:rPr>
      </w:pPr>
      <w:r w:rsidRPr="00A944A4">
        <w:rPr>
          <w:color w:val="000000"/>
        </w:rP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293196E9" w:rsidR="000877EF" w:rsidRDefault="000877EF">
      <w:pPr>
        <w:pBdr>
          <w:top w:val="nil"/>
          <w:left w:val="nil"/>
          <w:bottom w:val="nil"/>
          <w:right w:val="nil"/>
          <w:between w:val="nil"/>
        </w:pBdr>
        <w:spacing w:line="276" w:lineRule="auto"/>
        <w:jc w:val="both"/>
        <w:rPr>
          <w:color w:val="000000"/>
        </w:rPr>
      </w:pPr>
    </w:p>
    <w:p w14:paraId="6E772735" w14:textId="3D01C8BA" w:rsidR="00E521E5" w:rsidRDefault="00E521E5">
      <w:pPr>
        <w:pBdr>
          <w:top w:val="nil"/>
          <w:left w:val="nil"/>
          <w:bottom w:val="nil"/>
          <w:right w:val="nil"/>
          <w:between w:val="nil"/>
        </w:pBdr>
        <w:spacing w:line="276" w:lineRule="auto"/>
        <w:jc w:val="both"/>
        <w:rPr>
          <w:color w:val="000000"/>
        </w:rPr>
      </w:pPr>
    </w:p>
    <w:p w14:paraId="087E55A6" w14:textId="2E331B90" w:rsidR="00D10579" w:rsidRDefault="00D10579">
      <w:pPr>
        <w:pBdr>
          <w:top w:val="nil"/>
          <w:left w:val="nil"/>
          <w:bottom w:val="nil"/>
          <w:right w:val="nil"/>
          <w:between w:val="nil"/>
        </w:pBdr>
        <w:spacing w:line="276" w:lineRule="auto"/>
        <w:jc w:val="both"/>
        <w:rPr>
          <w:color w:val="000000"/>
        </w:rPr>
      </w:pPr>
    </w:p>
    <w:p w14:paraId="79B534C2" w14:textId="77777777" w:rsidR="00D10579" w:rsidRDefault="00D10579">
      <w:pPr>
        <w:pBdr>
          <w:top w:val="nil"/>
          <w:left w:val="nil"/>
          <w:bottom w:val="nil"/>
          <w:right w:val="nil"/>
          <w:between w:val="nil"/>
        </w:pBdr>
        <w:spacing w:line="276" w:lineRule="auto"/>
        <w:jc w:val="both"/>
        <w:rPr>
          <w:color w:val="000000"/>
        </w:rPr>
      </w:pPr>
    </w:p>
    <w:p w14:paraId="3417AFDB" w14:textId="77777777" w:rsidR="00E521E5" w:rsidRDefault="00E521E5">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68303BDB"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FE77CC">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polígino de acuerdo al requisito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5EB4C340"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FE77CC">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4A8434A9"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4311D0" w14:paraId="39862D38" w14:textId="77777777" w:rsidTr="008E165A">
        <w:trPr>
          <w:trHeight w:val="264"/>
        </w:trPr>
        <w:tc>
          <w:tcPr>
            <w:tcW w:w="1878" w:type="dxa"/>
          </w:tcPr>
          <w:p w14:paraId="363390C8" w14:textId="77777777" w:rsidR="004311D0" w:rsidRDefault="004311D0"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734616E2" w14:textId="77777777" w:rsidR="004311D0" w:rsidRDefault="004311D0"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2E8BEDB" w14:textId="77777777" w:rsidR="004311D0" w:rsidRDefault="004311D0"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5EEC0FC" w14:textId="77777777" w:rsidR="004311D0" w:rsidRDefault="004311D0"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036E4CD5" w14:textId="77777777" w:rsidR="004311D0" w:rsidRDefault="004311D0"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4311D0" w14:paraId="43461EAB" w14:textId="77777777" w:rsidTr="008E165A">
        <w:trPr>
          <w:trHeight w:val="231"/>
        </w:trPr>
        <w:tc>
          <w:tcPr>
            <w:tcW w:w="1878" w:type="dxa"/>
            <w:vAlign w:val="center"/>
          </w:tcPr>
          <w:p w14:paraId="6B818CC4" w14:textId="77777777" w:rsidR="004311D0" w:rsidRDefault="004311D0"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640229B8" w14:textId="77777777" w:rsidR="004311D0" w:rsidRPr="00C4042F" w:rsidRDefault="004311D0"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4207750D" w14:textId="77777777" w:rsidR="004311D0" w:rsidRPr="00C4042F" w:rsidRDefault="004311D0"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33223B35" w14:textId="77777777" w:rsidR="004311D0" w:rsidRDefault="004311D0"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4311D0" w14:paraId="386C1F5C" w14:textId="77777777" w:rsidTr="008E165A">
        <w:trPr>
          <w:trHeight w:val="231"/>
        </w:trPr>
        <w:tc>
          <w:tcPr>
            <w:tcW w:w="1878" w:type="dxa"/>
            <w:vAlign w:val="center"/>
          </w:tcPr>
          <w:p w14:paraId="74136BB9" w14:textId="77777777" w:rsidR="004311D0" w:rsidRDefault="004311D0"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28187DBD" w14:textId="77777777" w:rsidR="004311D0" w:rsidRPr="00C4042F" w:rsidRDefault="004311D0"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4E9C73EE" w14:textId="77777777" w:rsidR="004311D0" w:rsidRPr="00C4042F" w:rsidRDefault="004311D0"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63185B1C" w14:textId="77777777" w:rsidR="004311D0" w:rsidRDefault="004311D0"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7DA162BF" w:rsidR="001A0642" w:rsidRDefault="001A0642">
      <w:pPr>
        <w:pBdr>
          <w:top w:val="nil"/>
          <w:left w:val="nil"/>
          <w:bottom w:val="nil"/>
          <w:right w:val="nil"/>
          <w:between w:val="nil"/>
        </w:pBdr>
        <w:spacing w:line="276" w:lineRule="auto"/>
        <w:jc w:val="both"/>
      </w:pPr>
    </w:p>
    <w:p w14:paraId="335630D3" w14:textId="7A4F794C" w:rsidR="001A0642" w:rsidRDefault="001A0642">
      <w:pPr>
        <w:pBdr>
          <w:top w:val="nil"/>
          <w:left w:val="nil"/>
          <w:bottom w:val="nil"/>
          <w:right w:val="nil"/>
          <w:between w:val="nil"/>
        </w:pBdr>
        <w:spacing w:line="276" w:lineRule="auto"/>
        <w:jc w:val="both"/>
      </w:pPr>
    </w:p>
    <w:p w14:paraId="55ED4661" w14:textId="6202B781" w:rsidR="00E521E5" w:rsidRDefault="00E521E5">
      <w:pPr>
        <w:pBdr>
          <w:top w:val="nil"/>
          <w:left w:val="nil"/>
          <w:bottom w:val="nil"/>
          <w:right w:val="nil"/>
          <w:between w:val="nil"/>
        </w:pBdr>
        <w:spacing w:line="276" w:lineRule="auto"/>
        <w:jc w:val="both"/>
      </w:pPr>
    </w:p>
    <w:p w14:paraId="1D46B2FF" w14:textId="09EA238F" w:rsidR="00E521E5" w:rsidRDefault="00E521E5">
      <w:pPr>
        <w:pBdr>
          <w:top w:val="nil"/>
          <w:left w:val="nil"/>
          <w:bottom w:val="nil"/>
          <w:right w:val="nil"/>
          <w:between w:val="nil"/>
        </w:pBdr>
        <w:spacing w:line="276" w:lineRule="auto"/>
        <w:jc w:val="both"/>
      </w:pPr>
    </w:p>
    <w:p w14:paraId="7662D008" w14:textId="77777777" w:rsidR="00E521E5" w:rsidRDefault="00E521E5">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1FBF6B1E" w14:textId="77777777" w:rsidR="004D7D67" w:rsidRPr="004D7D67" w:rsidRDefault="004D7D67" w:rsidP="004D7D67">
            <w:pPr>
              <w:pStyle w:val="Prrafodelista"/>
              <w:numPr>
                <w:ilvl w:val="0"/>
                <w:numId w:val="3"/>
              </w:numPr>
              <w:pBdr>
                <w:top w:val="nil"/>
                <w:left w:val="nil"/>
                <w:bottom w:val="nil"/>
                <w:right w:val="nil"/>
                <w:between w:val="nil"/>
              </w:pBdr>
              <w:ind w:right="96"/>
              <w:jc w:val="both"/>
              <w:rPr>
                <w:sz w:val="20"/>
                <w:szCs w:val="20"/>
              </w:rPr>
            </w:pPr>
            <w:r w:rsidRPr="004D7D67">
              <w:rPr>
                <w:sz w:val="20"/>
                <w:szCs w:val="20"/>
              </w:rPr>
              <w:t>Para Barrios Comerciales:  Número de empresas postulantes</w:t>
            </w:r>
          </w:p>
          <w:p w14:paraId="041540B7" w14:textId="0D7D235C" w:rsidR="00647103" w:rsidRPr="004D7D67" w:rsidRDefault="004D7D67" w:rsidP="004D7D67">
            <w:pPr>
              <w:pStyle w:val="Prrafodelista"/>
              <w:pBdr>
                <w:top w:val="nil"/>
                <w:left w:val="nil"/>
                <w:bottom w:val="nil"/>
                <w:right w:val="nil"/>
                <w:between w:val="nil"/>
              </w:pBdr>
              <w:ind w:left="360" w:right="96"/>
              <w:jc w:val="both"/>
              <w:rPr>
                <w:color w:val="FF0000"/>
                <w:sz w:val="20"/>
                <w:szCs w:val="20"/>
              </w:rPr>
            </w:pPr>
            <w:r w:rsidRPr="004D7D67">
              <w:rPr>
                <w:sz w:val="20"/>
                <w:szCs w:val="20"/>
              </w:rPr>
              <w:t>Para Ferias Libres: Feria beneficiaria de la convocatoria Kit de Sanitización 2020</w:t>
            </w:r>
          </w:p>
        </w:tc>
        <w:tc>
          <w:tcPr>
            <w:tcW w:w="1353" w:type="dxa"/>
            <w:tcBorders>
              <w:left w:val="single" w:sz="6" w:space="0" w:color="000000"/>
            </w:tcBorders>
            <w:vAlign w:val="center"/>
          </w:tcPr>
          <w:p w14:paraId="3E605ADD" w14:textId="3D9DC060" w:rsidR="00647103" w:rsidRDefault="004D7D67" w:rsidP="001A0642">
            <w:pPr>
              <w:pBdr>
                <w:top w:val="nil"/>
                <w:left w:val="nil"/>
                <w:bottom w:val="nil"/>
                <w:right w:val="nil"/>
                <w:between w:val="nil"/>
              </w:pBdr>
              <w:ind w:right="477"/>
              <w:jc w:val="right"/>
            </w:pPr>
            <w:r>
              <w:t>1</w:t>
            </w:r>
            <w:r w:rsidR="00647103">
              <w:t>0%</w:t>
            </w:r>
          </w:p>
        </w:tc>
      </w:tr>
      <w:tr w:rsidR="004D7D67" w14:paraId="149C713F" w14:textId="77777777" w:rsidTr="001A0642">
        <w:trPr>
          <w:trHeight w:val="37"/>
        </w:trPr>
        <w:tc>
          <w:tcPr>
            <w:tcW w:w="7797" w:type="dxa"/>
            <w:tcBorders>
              <w:right w:val="single" w:sz="6" w:space="0" w:color="000000"/>
            </w:tcBorders>
          </w:tcPr>
          <w:p w14:paraId="5C6274DD" w14:textId="6D9446A3" w:rsidR="004D7D67" w:rsidRPr="00A944A4" w:rsidRDefault="004D7D67" w:rsidP="004D7D67">
            <w:pPr>
              <w:numPr>
                <w:ilvl w:val="0"/>
                <w:numId w:val="3"/>
              </w:numPr>
              <w:pBdr>
                <w:top w:val="nil"/>
                <w:left w:val="nil"/>
                <w:bottom w:val="nil"/>
                <w:right w:val="nil"/>
                <w:between w:val="nil"/>
              </w:pBdr>
              <w:ind w:right="96"/>
              <w:jc w:val="both"/>
              <w:rPr>
                <w:sz w:val="20"/>
                <w:szCs w:val="20"/>
              </w:rPr>
            </w:pPr>
            <w:r w:rsidRPr="004D7D67">
              <w:rPr>
                <w:sz w:val="20"/>
                <w:szCs w:val="20"/>
              </w:rPr>
              <w:t>Comuna donde funciona ha estado en cuarentena y/o con prohibición de funcionamiento</w:t>
            </w:r>
          </w:p>
        </w:tc>
        <w:tc>
          <w:tcPr>
            <w:tcW w:w="1353" w:type="dxa"/>
            <w:tcBorders>
              <w:left w:val="single" w:sz="6" w:space="0" w:color="000000"/>
            </w:tcBorders>
            <w:vAlign w:val="center"/>
          </w:tcPr>
          <w:p w14:paraId="482A2A10" w14:textId="1D3C8E24" w:rsidR="004D7D67" w:rsidRDefault="004D7D67" w:rsidP="001A0642">
            <w:pPr>
              <w:pBdr>
                <w:top w:val="nil"/>
                <w:left w:val="nil"/>
                <w:bottom w:val="nil"/>
                <w:right w:val="nil"/>
                <w:between w:val="nil"/>
              </w:pBdr>
              <w:ind w:right="477"/>
              <w:jc w:val="right"/>
            </w:pPr>
            <w:r>
              <w:t>10%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3" w:name="_heading=h.30j0zll" w:colFirst="0" w:colLast="0"/>
      <w:bookmarkEnd w:id="3"/>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w:t>
      </w:r>
      <w:r w:rsidR="00F277D8">
        <w:lastRenderedPageBreak/>
        <w:t xml:space="preserve">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lastRenderedPageBreak/>
        <w:t xml:space="preserve">La suscripción del contrato debe realizarse en un plazo no superior a </w:t>
      </w:r>
      <w:r w:rsidR="008C5E2A">
        <w:t>7</w:t>
      </w:r>
      <w:r>
        <w:t xml:space="preserve"> días hábiles administrativos. Si la Feria Libre</w:t>
      </w:r>
      <w:r w:rsidR="00120CF3">
        <w:t xml:space="preserve"> o Barrio Comercial </w:t>
      </w:r>
      <w:r>
        <w:t>lo solicita de manera formal, antes de 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7CD8049F" w:rsidR="00FA42F7" w:rsidRDefault="00FA42F7">
      <w:pPr>
        <w:pBdr>
          <w:top w:val="nil"/>
          <w:left w:val="nil"/>
          <w:bottom w:val="nil"/>
          <w:right w:val="nil"/>
          <w:between w:val="nil"/>
        </w:pBdr>
        <w:spacing w:line="276" w:lineRule="auto"/>
        <w:ind w:left="582" w:right="581"/>
        <w:rPr>
          <w:color w:val="000000"/>
        </w:rPr>
      </w:pPr>
    </w:p>
    <w:p w14:paraId="063638AF" w14:textId="56E6B7E1" w:rsidR="00546D53" w:rsidRDefault="00546D53">
      <w:pPr>
        <w:pBdr>
          <w:top w:val="nil"/>
          <w:left w:val="nil"/>
          <w:bottom w:val="nil"/>
          <w:right w:val="nil"/>
          <w:between w:val="nil"/>
        </w:pBdr>
        <w:spacing w:line="276" w:lineRule="auto"/>
        <w:ind w:left="582" w:right="581"/>
        <w:rPr>
          <w:color w:val="000000"/>
        </w:rPr>
      </w:pPr>
    </w:p>
    <w:p w14:paraId="6C291D22" w14:textId="77777777" w:rsidR="00546D53" w:rsidRDefault="00546D53">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lastRenderedPageBreak/>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6214C49D" w:rsidR="000877EF" w:rsidRDefault="000877EF">
      <w:pPr>
        <w:pBdr>
          <w:top w:val="nil"/>
          <w:left w:val="nil"/>
          <w:bottom w:val="nil"/>
          <w:right w:val="nil"/>
          <w:between w:val="nil"/>
        </w:pBdr>
        <w:spacing w:before="9" w:line="276" w:lineRule="auto"/>
        <w:rPr>
          <w:color w:val="000000"/>
        </w:rPr>
      </w:pPr>
    </w:p>
    <w:p w14:paraId="51C7AF9F" w14:textId="358534AD" w:rsidR="00546D53" w:rsidRDefault="00546D53">
      <w:pPr>
        <w:pBdr>
          <w:top w:val="nil"/>
          <w:left w:val="nil"/>
          <w:bottom w:val="nil"/>
          <w:right w:val="nil"/>
          <w:between w:val="nil"/>
        </w:pBdr>
        <w:spacing w:before="9" w:line="276" w:lineRule="auto"/>
        <w:rPr>
          <w:color w:val="000000"/>
        </w:rPr>
      </w:pPr>
    </w:p>
    <w:p w14:paraId="524290B0" w14:textId="77777777" w:rsidR="00546D53" w:rsidRDefault="00546D53">
      <w:pPr>
        <w:pBdr>
          <w:top w:val="nil"/>
          <w:left w:val="nil"/>
          <w:bottom w:val="nil"/>
          <w:right w:val="nil"/>
          <w:between w:val="nil"/>
        </w:pBdr>
        <w:spacing w:before="9" w:line="276" w:lineRule="auto"/>
        <w:rPr>
          <w:color w:val="000000"/>
        </w:rPr>
      </w:pPr>
      <w:bookmarkStart w:id="4" w:name="_GoBack"/>
      <w:bookmarkEnd w:id="4"/>
    </w:p>
    <w:p w14:paraId="0D4CAC20" w14:textId="77777777" w:rsidR="000877EF" w:rsidRDefault="0039498A">
      <w:pPr>
        <w:pStyle w:val="Ttulo1"/>
        <w:numPr>
          <w:ilvl w:val="0"/>
          <w:numId w:val="5"/>
        </w:numPr>
        <w:tabs>
          <w:tab w:val="left" w:pos="942"/>
        </w:tabs>
        <w:spacing w:before="1" w:line="276" w:lineRule="auto"/>
      </w:pPr>
      <w:r>
        <w:lastRenderedPageBreak/>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2317" w14:textId="77777777" w:rsidR="00AA5C1F" w:rsidRDefault="00AA5C1F">
      <w:r>
        <w:separator/>
      </w:r>
    </w:p>
  </w:endnote>
  <w:endnote w:type="continuationSeparator" w:id="0">
    <w:p w14:paraId="609C5B83" w14:textId="77777777" w:rsidR="00AA5C1F" w:rsidRDefault="00AA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04C72CE2" w:rsidR="008D29F2" w:rsidRDefault="008D29F2">
    <w:pPr>
      <w:jc w:val="right"/>
    </w:pPr>
    <w:r>
      <w:fldChar w:fldCharType="begin"/>
    </w:r>
    <w:r>
      <w:instrText>PAGE</w:instrText>
    </w:r>
    <w:r>
      <w:fldChar w:fldCharType="separate"/>
    </w:r>
    <w:r w:rsidR="00546D53">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1A999" w14:textId="77777777" w:rsidR="00AA5C1F" w:rsidRDefault="00AA5C1F">
      <w:r>
        <w:separator/>
      </w:r>
    </w:p>
  </w:footnote>
  <w:footnote w:type="continuationSeparator" w:id="0">
    <w:p w14:paraId="65A6784E" w14:textId="77777777" w:rsidR="00AA5C1F" w:rsidRDefault="00AA5C1F">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63D66254"/>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61637"/>
    <w:rsid w:val="000877EF"/>
    <w:rsid w:val="000B251D"/>
    <w:rsid w:val="000E146E"/>
    <w:rsid w:val="000E771A"/>
    <w:rsid w:val="00102197"/>
    <w:rsid w:val="0010622D"/>
    <w:rsid w:val="00120CF3"/>
    <w:rsid w:val="00122610"/>
    <w:rsid w:val="001355B4"/>
    <w:rsid w:val="001A0642"/>
    <w:rsid w:val="001A26BC"/>
    <w:rsid w:val="001A7687"/>
    <w:rsid w:val="001D1903"/>
    <w:rsid w:val="001F0788"/>
    <w:rsid w:val="001F0A81"/>
    <w:rsid w:val="00205547"/>
    <w:rsid w:val="002252AA"/>
    <w:rsid w:val="00245A9E"/>
    <w:rsid w:val="00256A4D"/>
    <w:rsid w:val="0027055B"/>
    <w:rsid w:val="00273E17"/>
    <w:rsid w:val="002A1C88"/>
    <w:rsid w:val="002C681C"/>
    <w:rsid w:val="002C770B"/>
    <w:rsid w:val="00334113"/>
    <w:rsid w:val="00387C66"/>
    <w:rsid w:val="0039498A"/>
    <w:rsid w:val="003A2E56"/>
    <w:rsid w:val="003A77E2"/>
    <w:rsid w:val="003D04CD"/>
    <w:rsid w:val="003E1647"/>
    <w:rsid w:val="004048DB"/>
    <w:rsid w:val="00404FD6"/>
    <w:rsid w:val="0041548D"/>
    <w:rsid w:val="004311D0"/>
    <w:rsid w:val="00454AE5"/>
    <w:rsid w:val="0045768C"/>
    <w:rsid w:val="00483674"/>
    <w:rsid w:val="00485591"/>
    <w:rsid w:val="004A0966"/>
    <w:rsid w:val="004C1446"/>
    <w:rsid w:val="004D2650"/>
    <w:rsid w:val="004D7D67"/>
    <w:rsid w:val="00500AA6"/>
    <w:rsid w:val="00505090"/>
    <w:rsid w:val="005316DB"/>
    <w:rsid w:val="00546D53"/>
    <w:rsid w:val="00574540"/>
    <w:rsid w:val="00575C2B"/>
    <w:rsid w:val="005C5836"/>
    <w:rsid w:val="005D2570"/>
    <w:rsid w:val="005F6414"/>
    <w:rsid w:val="00607F5E"/>
    <w:rsid w:val="00647103"/>
    <w:rsid w:val="006A7708"/>
    <w:rsid w:val="006B318A"/>
    <w:rsid w:val="006E7DCC"/>
    <w:rsid w:val="007021D9"/>
    <w:rsid w:val="00785407"/>
    <w:rsid w:val="007910B7"/>
    <w:rsid w:val="0079735B"/>
    <w:rsid w:val="007A614F"/>
    <w:rsid w:val="007C6E08"/>
    <w:rsid w:val="007D6D67"/>
    <w:rsid w:val="007E5072"/>
    <w:rsid w:val="008030A4"/>
    <w:rsid w:val="00861390"/>
    <w:rsid w:val="008B39CF"/>
    <w:rsid w:val="008B534C"/>
    <w:rsid w:val="008B7E9D"/>
    <w:rsid w:val="008C42CF"/>
    <w:rsid w:val="008C54FC"/>
    <w:rsid w:val="008C5E2A"/>
    <w:rsid w:val="008D29F2"/>
    <w:rsid w:val="008D70A2"/>
    <w:rsid w:val="0095712B"/>
    <w:rsid w:val="00992854"/>
    <w:rsid w:val="00994894"/>
    <w:rsid w:val="00996793"/>
    <w:rsid w:val="009E3480"/>
    <w:rsid w:val="009F0B6A"/>
    <w:rsid w:val="009F5147"/>
    <w:rsid w:val="00A468D8"/>
    <w:rsid w:val="00A527A1"/>
    <w:rsid w:val="00A81EAD"/>
    <w:rsid w:val="00A93BD5"/>
    <w:rsid w:val="00A944A4"/>
    <w:rsid w:val="00A94B93"/>
    <w:rsid w:val="00A97189"/>
    <w:rsid w:val="00AA5C1F"/>
    <w:rsid w:val="00AA65E6"/>
    <w:rsid w:val="00AD4C6F"/>
    <w:rsid w:val="00AE6ABB"/>
    <w:rsid w:val="00B00A3B"/>
    <w:rsid w:val="00B673BC"/>
    <w:rsid w:val="00BA2296"/>
    <w:rsid w:val="00BA5AF2"/>
    <w:rsid w:val="00BB18FC"/>
    <w:rsid w:val="00C000F0"/>
    <w:rsid w:val="00C031CF"/>
    <w:rsid w:val="00C215BA"/>
    <w:rsid w:val="00C25409"/>
    <w:rsid w:val="00C26C1A"/>
    <w:rsid w:val="00C31BA1"/>
    <w:rsid w:val="00C439A9"/>
    <w:rsid w:val="00C56CE3"/>
    <w:rsid w:val="00C56EB7"/>
    <w:rsid w:val="00C6717C"/>
    <w:rsid w:val="00C71BCB"/>
    <w:rsid w:val="00C8108D"/>
    <w:rsid w:val="00C94CA9"/>
    <w:rsid w:val="00C97AAD"/>
    <w:rsid w:val="00CA680D"/>
    <w:rsid w:val="00CF34FD"/>
    <w:rsid w:val="00D10579"/>
    <w:rsid w:val="00D54A41"/>
    <w:rsid w:val="00D656CC"/>
    <w:rsid w:val="00DC2572"/>
    <w:rsid w:val="00DE04AB"/>
    <w:rsid w:val="00E129EF"/>
    <w:rsid w:val="00E23B8C"/>
    <w:rsid w:val="00E377C5"/>
    <w:rsid w:val="00E50C49"/>
    <w:rsid w:val="00E521E5"/>
    <w:rsid w:val="00E759DC"/>
    <w:rsid w:val="00EA6F06"/>
    <w:rsid w:val="00EC5854"/>
    <w:rsid w:val="00EF11CC"/>
    <w:rsid w:val="00F03FD7"/>
    <w:rsid w:val="00F16044"/>
    <w:rsid w:val="00F17541"/>
    <w:rsid w:val="00F256ED"/>
    <w:rsid w:val="00F277D8"/>
    <w:rsid w:val="00F81EEA"/>
    <w:rsid w:val="00F83C9A"/>
    <w:rsid w:val="00F860BE"/>
    <w:rsid w:val="00F86D56"/>
    <w:rsid w:val="00FA42F7"/>
    <w:rsid w:val="00FA73AD"/>
    <w:rsid w:val="00FB3162"/>
    <w:rsid w:val="00FC62FD"/>
    <w:rsid w:val="00FD3CC0"/>
    <w:rsid w:val="00FE1184"/>
    <w:rsid w:val="00FE77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1B4B77-C24D-4D0E-A375-B0D1810E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3251</Words>
  <Characters>17884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13</cp:revision>
  <cp:lastPrinted>2020-09-04T14:34:00Z</cp:lastPrinted>
  <dcterms:created xsi:type="dcterms:W3CDTF">2020-09-28T13:53:00Z</dcterms:created>
  <dcterms:modified xsi:type="dcterms:W3CDTF">2020-11-11T16:03:00Z</dcterms:modified>
</cp:coreProperties>
</file>