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00F02" w14:textId="4633D8C9" w:rsidR="001E049F" w:rsidRPr="00BC2631" w:rsidRDefault="00FD0599" w:rsidP="007E7CDD">
      <w:pPr>
        <w:jc w:val="center"/>
        <w:rPr>
          <w:rFonts w:ascii="Palatino Linotype" w:hAnsi="Palatino Linotype"/>
          <w:b/>
          <w:sz w:val="24"/>
          <w:szCs w:val="24"/>
          <w:u w:val="single"/>
        </w:rPr>
      </w:pPr>
      <w:r w:rsidRPr="00BC2631">
        <w:rPr>
          <w:rFonts w:ascii="Palatino Linotype" w:hAnsi="Palatino Linotype"/>
          <w:b/>
          <w:sz w:val="24"/>
          <w:szCs w:val="24"/>
          <w:u w:val="single"/>
        </w:rPr>
        <w:t>Acta Reunión de Negociación</w:t>
      </w:r>
    </w:p>
    <w:p w14:paraId="7BDEEFB8" w14:textId="4E10773A" w:rsidR="00FD0599" w:rsidRPr="00BC2631" w:rsidRDefault="00FD0599" w:rsidP="007E7CDD">
      <w:pPr>
        <w:jc w:val="center"/>
        <w:rPr>
          <w:rFonts w:ascii="Palatino Linotype" w:hAnsi="Palatino Linotype"/>
          <w:b/>
          <w:sz w:val="24"/>
          <w:szCs w:val="24"/>
          <w:u w:val="single"/>
        </w:rPr>
      </w:pPr>
      <w:r w:rsidRPr="00BC2631">
        <w:rPr>
          <w:rFonts w:ascii="Palatino Linotype" w:hAnsi="Palatino Linotype"/>
          <w:b/>
          <w:sz w:val="24"/>
          <w:szCs w:val="24"/>
          <w:u w:val="single"/>
        </w:rPr>
        <w:t>Proceso Renovación de Acuerdos de Desempeño Centros de Desarrollo de Negocios</w:t>
      </w:r>
    </w:p>
    <w:p w14:paraId="1A282344" w14:textId="77777777" w:rsidR="00FD0599" w:rsidRPr="00BC2631" w:rsidRDefault="00FD0599" w:rsidP="002E593A">
      <w:pPr>
        <w:jc w:val="both"/>
        <w:rPr>
          <w:rFonts w:ascii="Palatino Linotype" w:hAnsi="Palatino Linotype"/>
          <w:b/>
          <w:sz w:val="24"/>
          <w:szCs w:val="24"/>
          <w:u w:val="single"/>
        </w:rPr>
      </w:pPr>
    </w:p>
    <w:p w14:paraId="4B86B730" w14:textId="0A2E8981" w:rsidR="00FD0599" w:rsidRPr="00BC2631" w:rsidRDefault="00FD0599" w:rsidP="002E593A">
      <w:pPr>
        <w:pStyle w:val="Prrafodelista"/>
        <w:numPr>
          <w:ilvl w:val="0"/>
          <w:numId w:val="11"/>
        </w:numPr>
        <w:spacing w:after="0" w:line="360" w:lineRule="auto"/>
        <w:jc w:val="both"/>
        <w:rPr>
          <w:rFonts w:ascii="Palatino Linotype" w:eastAsiaTheme="majorEastAsia" w:hAnsi="Palatino Linotype" w:cstheme="majorBidi"/>
          <w:b/>
          <w:color w:val="000000" w:themeColor="text1"/>
          <w:sz w:val="20"/>
          <w:szCs w:val="20"/>
          <w:u w:val="single"/>
        </w:rPr>
      </w:pPr>
      <w:r w:rsidRPr="00BC2631">
        <w:rPr>
          <w:rFonts w:ascii="Palatino Linotype" w:eastAsiaTheme="majorEastAsia" w:hAnsi="Palatino Linotype" w:cstheme="majorBidi"/>
          <w:b/>
          <w:color w:val="000000" w:themeColor="text1"/>
          <w:sz w:val="20"/>
          <w:szCs w:val="20"/>
          <w:u w:val="single"/>
        </w:rPr>
        <w:t>Antecedentes:</w:t>
      </w:r>
    </w:p>
    <w:tbl>
      <w:tblPr>
        <w:tblStyle w:val="Listaclara-nfasis5"/>
        <w:tblW w:w="8930" w:type="dxa"/>
        <w:tblInd w:w="675" w:type="dxa"/>
        <w:tblLook w:val="04A0" w:firstRow="1" w:lastRow="0" w:firstColumn="1" w:lastColumn="0" w:noHBand="0" w:noVBand="1"/>
      </w:tblPr>
      <w:tblGrid>
        <w:gridCol w:w="2802"/>
        <w:gridCol w:w="6128"/>
      </w:tblGrid>
      <w:tr w:rsidR="008B5658" w:rsidRPr="00BC2631" w14:paraId="7CD44002" w14:textId="77777777" w:rsidTr="00C568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6045E51A" w14:textId="738DD968" w:rsidR="008B5658" w:rsidRPr="00BC2631" w:rsidRDefault="008B5658" w:rsidP="005F718F">
            <w:pPr>
              <w:spacing w:line="360" w:lineRule="auto"/>
              <w:jc w:val="both"/>
              <w:rPr>
                <w:rFonts w:ascii="Palatino Linotype" w:hAnsi="Palatino Linotype"/>
              </w:rPr>
            </w:pPr>
            <w:r w:rsidRPr="00BC2631">
              <w:rPr>
                <w:rFonts w:ascii="Palatino Linotype" w:hAnsi="Palatino Linotype"/>
              </w:rPr>
              <w:t>Centro:</w:t>
            </w:r>
            <w:r w:rsidR="00130EF5">
              <w:t xml:space="preserve"> </w:t>
            </w:r>
            <w:r w:rsidR="005F718F">
              <w:t>Cauquenes</w:t>
            </w:r>
          </w:p>
        </w:tc>
        <w:tc>
          <w:tcPr>
            <w:tcW w:w="6128" w:type="dxa"/>
          </w:tcPr>
          <w:p w14:paraId="74730D5B" w14:textId="74CD0BB1" w:rsidR="008B5658" w:rsidRPr="00BC2631" w:rsidRDefault="008B5658" w:rsidP="002E593A">
            <w:pPr>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p>
        </w:tc>
      </w:tr>
      <w:tr w:rsidR="008B5658" w:rsidRPr="00BC2631" w14:paraId="5ECDF831" w14:textId="77777777" w:rsidTr="00C5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75A898EA" w14:textId="77777777" w:rsidR="008B5658" w:rsidRPr="00BC2631" w:rsidRDefault="008B5658" w:rsidP="002E593A">
            <w:pPr>
              <w:spacing w:line="360" w:lineRule="auto"/>
              <w:jc w:val="both"/>
              <w:rPr>
                <w:rFonts w:ascii="Palatino Linotype" w:hAnsi="Palatino Linotype"/>
              </w:rPr>
            </w:pPr>
            <w:r w:rsidRPr="00BC2631">
              <w:rPr>
                <w:rFonts w:ascii="Palatino Linotype" w:hAnsi="Palatino Linotype"/>
              </w:rPr>
              <w:t>Región:</w:t>
            </w:r>
          </w:p>
        </w:tc>
        <w:tc>
          <w:tcPr>
            <w:tcW w:w="6128" w:type="dxa"/>
          </w:tcPr>
          <w:p w14:paraId="5FFF4384" w14:textId="559658EA" w:rsidR="008B5658" w:rsidRPr="00BC2631" w:rsidRDefault="005F718F" w:rsidP="002E593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 xml:space="preserve">Maule </w:t>
            </w:r>
          </w:p>
        </w:tc>
      </w:tr>
      <w:tr w:rsidR="008B5658" w:rsidRPr="00BC2631" w14:paraId="13802DF2" w14:textId="77777777" w:rsidTr="00C5688F">
        <w:tc>
          <w:tcPr>
            <w:cnfStyle w:val="001000000000" w:firstRow="0" w:lastRow="0" w:firstColumn="1" w:lastColumn="0" w:oddVBand="0" w:evenVBand="0" w:oddHBand="0" w:evenHBand="0" w:firstRowFirstColumn="0" w:firstRowLastColumn="0" w:lastRowFirstColumn="0" w:lastRowLastColumn="0"/>
            <w:tcW w:w="2802" w:type="dxa"/>
          </w:tcPr>
          <w:p w14:paraId="1EB75674" w14:textId="77777777" w:rsidR="008B5658" w:rsidRPr="00BC2631" w:rsidRDefault="008B5658" w:rsidP="002E593A">
            <w:pPr>
              <w:spacing w:line="360" w:lineRule="auto"/>
              <w:jc w:val="both"/>
              <w:rPr>
                <w:rFonts w:ascii="Palatino Linotype" w:hAnsi="Palatino Linotype"/>
              </w:rPr>
            </w:pPr>
            <w:r w:rsidRPr="00BC2631">
              <w:rPr>
                <w:rFonts w:ascii="Palatino Linotype" w:hAnsi="Palatino Linotype"/>
              </w:rPr>
              <w:t>Tamaño del centro:</w:t>
            </w:r>
          </w:p>
        </w:tc>
        <w:tc>
          <w:tcPr>
            <w:tcW w:w="6128" w:type="dxa"/>
          </w:tcPr>
          <w:p w14:paraId="7A7C7422" w14:textId="74D01AE8" w:rsidR="008B5658" w:rsidRPr="00BC2631" w:rsidRDefault="00431B14" w:rsidP="002E593A">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BC2631">
              <w:rPr>
                <w:rFonts w:ascii="Palatino Linotype" w:hAnsi="Palatino Linotype"/>
              </w:rPr>
              <w:t>Pequeño</w:t>
            </w:r>
          </w:p>
        </w:tc>
      </w:tr>
      <w:tr w:rsidR="008B5658" w:rsidRPr="00BC2631" w14:paraId="74E642D5" w14:textId="77777777" w:rsidTr="00C5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376F5E7A" w14:textId="77777777" w:rsidR="008B5658" w:rsidRPr="00BC2631" w:rsidRDefault="008B5658" w:rsidP="002E593A">
            <w:pPr>
              <w:spacing w:line="360" w:lineRule="auto"/>
              <w:jc w:val="both"/>
              <w:rPr>
                <w:rFonts w:ascii="Palatino Linotype" w:hAnsi="Palatino Linotype"/>
              </w:rPr>
            </w:pPr>
            <w:r w:rsidRPr="00BC2631">
              <w:rPr>
                <w:rFonts w:ascii="Palatino Linotype" w:hAnsi="Palatino Linotype"/>
              </w:rPr>
              <w:t>Institución Operadora:</w:t>
            </w:r>
          </w:p>
        </w:tc>
        <w:tc>
          <w:tcPr>
            <w:tcW w:w="6128" w:type="dxa"/>
          </w:tcPr>
          <w:p w14:paraId="468845B0" w14:textId="594FDCD4" w:rsidR="008B5658" w:rsidRPr="00BC2631" w:rsidRDefault="005F718F" w:rsidP="002E593A">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Universidad católica del Maule</w:t>
            </w:r>
          </w:p>
        </w:tc>
      </w:tr>
      <w:tr w:rsidR="008B5658" w:rsidRPr="00BC2631" w14:paraId="2183F3FF" w14:textId="77777777" w:rsidTr="00C5688F">
        <w:tc>
          <w:tcPr>
            <w:cnfStyle w:val="001000000000" w:firstRow="0" w:lastRow="0" w:firstColumn="1" w:lastColumn="0" w:oddVBand="0" w:evenVBand="0" w:oddHBand="0" w:evenHBand="0" w:firstRowFirstColumn="0" w:firstRowLastColumn="0" w:lastRowFirstColumn="0" w:lastRowLastColumn="0"/>
            <w:tcW w:w="2802" w:type="dxa"/>
          </w:tcPr>
          <w:p w14:paraId="409ED3AC" w14:textId="6D8EA67F" w:rsidR="008B5658" w:rsidRPr="00BC2631" w:rsidRDefault="00FD0599" w:rsidP="002E593A">
            <w:pPr>
              <w:spacing w:line="360" w:lineRule="auto"/>
              <w:jc w:val="both"/>
              <w:rPr>
                <w:rFonts w:ascii="Palatino Linotype" w:hAnsi="Palatino Linotype"/>
              </w:rPr>
            </w:pPr>
            <w:r w:rsidRPr="00BC2631">
              <w:rPr>
                <w:rFonts w:ascii="Palatino Linotype" w:hAnsi="Palatino Linotype"/>
              </w:rPr>
              <w:t>Fecha realización:</w:t>
            </w:r>
          </w:p>
        </w:tc>
        <w:tc>
          <w:tcPr>
            <w:tcW w:w="6128" w:type="dxa"/>
          </w:tcPr>
          <w:p w14:paraId="282B55B6" w14:textId="46C4ECF6" w:rsidR="008B5658" w:rsidRPr="00BC2631" w:rsidRDefault="00130EF5" w:rsidP="005F718F">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Pr>
                <w:rFonts w:ascii="Palatino Linotype" w:hAnsi="Palatino Linotype"/>
              </w:rPr>
              <w:t>7</w:t>
            </w:r>
            <w:r w:rsidR="005F718F">
              <w:rPr>
                <w:rFonts w:ascii="Palatino Linotype" w:hAnsi="Palatino Linotype"/>
              </w:rPr>
              <w:t xml:space="preserve"> septiembre</w:t>
            </w:r>
            <w:r w:rsidR="00431B14" w:rsidRPr="00BC2631">
              <w:rPr>
                <w:rFonts w:ascii="Palatino Linotype" w:hAnsi="Palatino Linotype"/>
              </w:rPr>
              <w:t xml:space="preserve"> 2016</w:t>
            </w:r>
          </w:p>
        </w:tc>
      </w:tr>
      <w:tr w:rsidR="001E049F" w:rsidRPr="00BC2631" w14:paraId="29DD754F" w14:textId="77777777" w:rsidTr="00C5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5E343F0C" w14:textId="1D735B73" w:rsidR="001E049F" w:rsidRPr="00BC2631" w:rsidRDefault="00FD0599" w:rsidP="002E593A">
            <w:pPr>
              <w:spacing w:line="360" w:lineRule="auto"/>
              <w:jc w:val="both"/>
              <w:rPr>
                <w:rFonts w:ascii="Palatino Linotype" w:hAnsi="Palatino Linotype"/>
              </w:rPr>
            </w:pPr>
            <w:r w:rsidRPr="00BC2631">
              <w:rPr>
                <w:rFonts w:ascii="Palatino Linotype" w:hAnsi="Palatino Linotype"/>
              </w:rPr>
              <w:t>Hora realización:</w:t>
            </w:r>
          </w:p>
        </w:tc>
        <w:tc>
          <w:tcPr>
            <w:tcW w:w="6128" w:type="dxa"/>
          </w:tcPr>
          <w:p w14:paraId="15639F28" w14:textId="64192A92" w:rsidR="001E049F" w:rsidRPr="00BC2631" w:rsidRDefault="002B3798" w:rsidP="005F718F">
            <w:pPr>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Pr>
                <w:rFonts w:ascii="Palatino Linotype" w:hAnsi="Palatino Linotype"/>
              </w:rPr>
              <w:t>1</w:t>
            </w:r>
            <w:r w:rsidR="005F718F">
              <w:rPr>
                <w:rFonts w:ascii="Palatino Linotype" w:hAnsi="Palatino Linotype"/>
              </w:rPr>
              <w:t>5:00</w:t>
            </w:r>
          </w:p>
        </w:tc>
      </w:tr>
      <w:tr w:rsidR="00FD0599" w:rsidRPr="00BC2631" w14:paraId="099BF5A6" w14:textId="77777777" w:rsidTr="00C5688F">
        <w:tc>
          <w:tcPr>
            <w:cnfStyle w:val="001000000000" w:firstRow="0" w:lastRow="0" w:firstColumn="1" w:lastColumn="0" w:oddVBand="0" w:evenVBand="0" w:oddHBand="0" w:evenHBand="0" w:firstRowFirstColumn="0" w:firstRowLastColumn="0" w:lastRowFirstColumn="0" w:lastRowLastColumn="0"/>
            <w:tcW w:w="2802" w:type="dxa"/>
          </w:tcPr>
          <w:p w14:paraId="58C9924D" w14:textId="2060EE86" w:rsidR="00FD0599" w:rsidRPr="00BC2631" w:rsidRDefault="00FD0599" w:rsidP="002E593A">
            <w:pPr>
              <w:spacing w:line="360" w:lineRule="auto"/>
              <w:jc w:val="both"/>
              <w:rPr>
                <w:rFonts w:ascii="Palatino Linotype" w:hAnsi="Palatino Linotype"/>
              </w:rPr>
            </w:pPr>
            <w:r w:rsidRPr="00BC2631">
              <w:rPr>
                <w:rFonts w:ascii="Palatino Linotype" w:hAnsi="Palatino Linotype"/>
              </w:rPr>
              <w:t>Lugar realización:</w:t>
            </w:r>
          </w:p>
        </w:tc>
        <w:tc>
          <w:tcPr>
            <w:tcW w:w="6128" w:type="dxa"/>
          </w:tcPr>
          <w:p w14:paraId="47FE80B2" w14:textId="377433ED" w:rsidR="001071FD" w:rsidRPr="00BC2631" w:rsidRDefault="00130EF5" w:rsidP="002E593A">
            <w:pPr>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Pr>
                <w:rFonts w:ascii="Palatino Linotype" w:hAnsi="Palatino Linotype"/>
              </w:rPr>
              <w:t xml:space="preserve">VC </w:t>
            </w:r>
            <w:r w:rsidR="00431B14" w:rsidRPr="00BC2631">
              <w:rPr>
                <w:rFonts w:ascii="Palatino Linotype" w:hAnsi="Palatino Linotype"/>
              </w:rPr>
              <w:t>Gerencia Centros de Desarrollo de Negocios</w:t>
            </w:r>
          </w:p>
        </w:tc>
      </w:tr>
      <w:tr w:rsidR="00FD0599" w:rsidRPr="00BC2631" w14:paraId="44FE03A8" w14:textId="77777777" w:rsidTr="00C56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14:paraId="01BF6BDB" w14:textId="5FDF1ADF" w:rsidR="00FD0599" w:rsidRPr="00BC2631" w:rsidRDefault="00FD0599" w:rsidP="002E593A">
            <w:pPr>
              <w:spacing w:line="360" w:lineRule="auto"/>
              <w:jc w:val="both"/>
              <w:rPr>
                <w:rFonts w:ascii="Palatino Linotype" w:hAnsi="Palatino Linotype"/>
              </w:rPr>
            </w:pPr>
            <w:r w:rsidRPr="00BC2631">
              <w:rPr>
                <w:rFonts w:ascii="Palatino Linotype" w:hAnsi="Palatino Linotype"/>
              </w:rPr>
              <w:t>Participantes</w:t>
            </w:r>
          </w:p>
        </w:tc>
        <w:tc>
          <w:tcPr>
            <w:tcW w:w="6128" w:type="dxa"/>
          </w:tcPr>
          <w:p w14:paraId="41B79B23" w14:textId="5BFA63D1" w:rsidR="005F718F" w:rsidRDefault="005F718F" w:rsidP="00130EF5">
            <w:pPr>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heme="majorBidi"/>
                <w:color w:val="000000" w:themeColor="text1"/>
              </w:rPr>
            </w:pPr>
            <w:r>
              <w:rPr>
                <w:rFonts w:ascii="Palatino Linotype" w:eastAsiaTheme="majorEastAsia" w:hAnsi="Palatino Linotype" w:cstheme="majorBidi"/>
                <w:color w:val="000000" w:themeColor="text1"/>
              </w:rPr>
              <w:t>Samuel Chambe Toledo Director Regional, Maule</w:t>
            </w:r>
          </w:p>
          <w:p w14:paraId="3CA01D8B" w14:textId="016A5639" w:rsidR="005F718F" w:rsidRDefault="0066026F" w:rsidP="00130EF5">
            <w:pPr>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heme="majorBidi"/>
                <w:color w:val="000000" w:themeColor="text1"/>
              </w:rPr>
            </w:pPr>
            <w:r>
              <w:rPr>
                <w:rFonts w:ascii="Palatino Linotype" w:eastAsiaTheme="majorEastAsia" w:hAnsi="Palatino Linotype" w:cstheme="majorBidi"/>
                <w:color w:val="000000" w:themeColor="text1"/>
              </w:rPr>
              <w:t xml:space="preserve">Victor Monzón, </w:t>
            </w:r>
            <w:r w:rsidR="005F718F">
              <w:rPr>
                <w:rFonts w:ascii="Palatino Linotype" w:eastAsiaTheme="majorEastAsia" w:hAnsi="Palatino Linotype" w:cstheme="majorBidi"/>
                <w:color w:val="000000" w:themeColor="text1"/>
              </w:rPr>
              <w:t>Vicerrector,  Universidad Católica del Maule</w:t>
            </w:r>
            <w:r>
              <w:rPr>
                <w:rFonts w:ascii="Palatino Linotype" w:eastAsiaTheme="majorEastAsia" w:hAnsi="Palatino Linotype" w:cstheme="majorBidi"/>
                <w:color w:val="000000" w:themeColor="text1"/>
              </w:rPr>
              <w:t>.</w:t>
            </w:r>
          </w:p>
          <w:p w14:paraId="3BC773C5" w14:textId="677A718A" w:rsidR="005F718F" w:rsidRDefault="0066026F" w:rsidP="00130EF5">
            <w:pPr>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heme="majorBidi"/>
                <w:color w:val="000000" w:themeColor="text1"/>
              </w:rPr>
            </w:pPr>
            <w:r>
              <w:rPr>
                <w:rFonts w:ascii="Palatino Linotype" w:eastAsiaTheme="majorEastAsia" w:hAnsi="Palatino Linotype" w:cstheme="majorBidi"/>
                <w:color w:val="000000" w:themeColor="text1"/>
              </w:rPr>
              <w:t xml:space="preserve">Rodrigo Uribe, </w:t>
            </w:r>
            <w:r w:rsidR="005F718F">
              <w:rPr>
                <w:rFonts w:ascii="Palatino Linotype" w:eastAsiaTheme="majorEastAsia" w:hAnsi="Palatino Linotype" w:cstheme="majorBidi"/>
                <w:color w:val="000000" w:themeColor="text1"/>
              </w:rPr>
              <w:t>Director Centro Cauquenes</w:t>
            </w:r>
            <w:r>
              <w:rPr>
                <w:rFonts w:ascii="Palatino Linotype" w:eastAsiaTheme="majorEastAsia" w:hAnsi="Palatino Linotype" w:cstheme="majorBidi"/>
                <w:color w:val="000000" w:themeColor="text1"/>
              </w:rPr>
              <w:t>.</w:t>
            </w:r>
          </w:p>
          <w:p w14:paraId="31C26F31" w14:textId="4EA597A6" w:rsidR="00130EF5" w:rsidRPr="00BC2631" w:rsidRDefault="005F718F" w:rsidP="00130EF5">
            <w:pPr>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heme="majorBidi"/>
                <w:color w:val="000000" w:themeColor="text1"/>
              </w:rPr>
            </w:pPr>
            <w:r>
              <w:rPr>
                <w:rFonts w:ascii="Palatino Linotype" w:eastAsiaTheme="majorEastAsia" w:hAnsi="Palatino Linotype" w:cstheme="majorBidi"/>
                <w:color w:val="000000" w:themeColor="text1"/>
              </w:rPr>
              <w:t>Claudia Rodriguez</w:t>
            </w:r>
            <w:r w:rsidR="00130EF5">
              <w:rPr>
                <w:rFonts w:ascii="Palatino Linotype" w:eastAsiaTheme="majorEastAsia" w:hAnsi="Palatino Linotype" w:cstheme="majorBidi"/>
                <w:color w:val="000000" w:themeColor="text1"/>
              </w:rPr>
              <w:t xml:space="preserve">, Dirección Regional Sercotec, </w:t>
            </w:r>
            <w:r>
              <w:rPr>
                <w:rFonts w:ascii="Palatino Linotype" w:eastAsiaTheme="majorEastAsia" w:hAnsi="Palatino Linotype" w:cstheme="majorBidi"/>
                <w:color w:val="000000" w:themeColor="text1"/>
              </w:rPr>
              <w:t>Maule</w:t>
            </w:r>
            <w:r w:rsidR="002B3798">
              <w:rPr>
                <w:rFonts w:ascii="Palatino Linotype" w:eastAsiaTheme="majorEastAsia" w:hAnsi="Palatino Linotype" w:cstheme="majorBidi"/>
                <w:color w:val="000000" w:themeColor="text1"/>
              </w:rPr>
              <w:t xml:space="preserve"> </w:t>
            </w:r>
          </w:p>
          <w:p w14:paraId="0B30779C" w14:textId="77777777" w:rsidR="00130EF5" w:rsidRPr="00BC2631" w:rsidRDefault="00130EF5" w:rsidP="00130EF5">
            <w:pPr>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heme="majorBidi"/>
                <w:color w:val="000000" w:themeColor="text1"/>
              </w:rPr>
            </w:pPr>
            <w:r w:rsidRPr="00BC2631">
              <w:rPr>
                <w:rFonts w:ascii="Palatino Linotype" w:eastAsiaTheme="majorEastAsia" w:hAnsi="Palatino Linotype" w:cstheme="majorBidi"/>
                <w:color w:val="000000" w:themeColor="text1"/>
              </w:rPr>
              <w:t>Claudia Martinovic, profesional Gerencia de Centros</w:t>
            </w:r>
          </w:p>
          <w:p w14:paraId="5D6946C1" w14:textId="77777777" w:rsidR="00130EF5" w:rsidRPr="00BC2631" w:rsidRDefault="00130EF5" w:rsidP="00130EF5">
            <w:pPr>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heme="majorBidi"/>
                <w:color w:val="000000" w:themeColor="text1"/>
              </w:rPr>
            </w:pPr>
            <w:r w:rsidRPr="00BC2631">
              <w:rPr>
                <w:rFonts w:ascii="Palatino Linotype" w:eastAsiaTheme="majorEastAsia" w:hAnsi="Palatino Linotype" w:cstheme="majorBidi"/>
                <w:color w:val="000000" w:themeColor="text1"/>
              </w:rPr>
              <w:t>Carolina García, profesional Gerencia de Centros</w:t>
            </w:r>
          </w:p>
          <w:p w14:paraId="279973D9" w14:textId="2ACC44F6" w:rsidR="007C0B4D" w:rsidRPr="00BC2631" w:rsidRDefault="00130EF5" w:rsidP="00130EF5">
            <w:pPr>
              <w:jc w:val="both"/>
              <w:cnfStyle w:val="000000100000" w:firstRow="0" w:lastRow="0" w:firstColumn="0" w:lastColumn="0" w:oddVBand="0" w:evenVBand="0" w:oddHBand="1" w:evenHBand="0" w:firstRowFirstColumn="0" w:firstRowLastColumn="0" w:lastRowFirstColumn="0" w:lastRowLastColumn="0"/>
              <w:rPr>
                <w:rFonts w:ascii="Palatino Linotype" w:eastAsiaTheme="majorEastAsia" w:hAnsi="Palatino Linotype" w:cstheme="majorBidi"/>
                <w:color w:val="000000" w:themeColor="text1"/>
              </w:rPr>
            </w:pPr>
            <w:r>
              <w:rPr>
                <w:rFonts w:ascii="Palatino Linotype" w:eastAsiaTheme="majorEastAsia" w:hAnsi="Palatino Linotype" w:cstheme="majorBidi"/>
                <w:color w:val="000000" w:themeColor="text1"/>
              </w:rPr>
              <w:t xml:space="preserve">Felipe de la Maza </w:t>
            </w:r>
            <w:r w:rsidRPr="00BC2631">
              <w:rPr>
                <w:rFonts w:ascii="Palatino Linotype" w:eastAsiaTheme="majorEastAsia" w:hAnsi="Palatino Linotype" w:cstheme="majorBidi"/>
                <w:color w:val="000000" w:themeColor="text1"/>
              </w:rPr>
              <w:t>, profesional Gerencia de Centros</w:t>
            </w:r>
          </w:p>
        </w:tc>
      </w:tr>
    </w:tbl>
    <w:p w14:paraId="301E4889" w14:textId="77777777" w:rsidR="00B1555F" w:rsidRDefault="00B1555F" w:rsidP="00B1555F">
      <w:pPr>
        <w:pStyle w:val="Prrafodelista"/>
        <w:ind w:left="1440"/>
        <w:jc w:val="both"/>
        <w:rPr>
          <w:rFonts w:ascii="Palatino Linotype" w:hAnsi="Palatino Linotype"/>
        </w:rPr>
      </w:pPr>
    </w:p>
    <w:p w14:paraId="6735045F" w14:textId="77777777" w:rsidR="00B1555F" w:rsidRDefault="00B1555F" w:rsidP="00B1555F">
      <w:pPr>
        <w:pStyle w:val="Prrafodelista"/>
        <w:ind w:left="1440"/>
        <w:jc w:val="both"/>
        <w:rPr>
          <w:rFonts w:ascii="Palatino Linotype" w:hAnsi="Palatino Linotype"/>
        </w:rPr>
      </w:pPr>
    </w:p>
    <w:p w14:paraId="4590AE7B" w14:textId="77777777" w:rsidR="005F718F" w:rsidRDefault="005F718F" w:rsidP="005F718F">
      <w:pPr>
        <w:pStyle w:val="Prrafodelista"/>
        <w:numPr>
          <w:ilvl w:val="1"/>
          <w:numId w:val="11"/>
        </w:numPr>
        <w:jc w:val="both"/>
        <w:rPr>
          <w:rFonts w:ascii="Palatino Linotype" w:hAnsi="Palatino Linotype"/>
        </w:rPr>
      </w:pPr>
      <w:r>
        <w:rPr>
          <w:rFonts w:ascii="Palatino Linotype" w:hAnsi="Palatino Linotype"/>
        </w:rPr>
        <w:t xml:space="preserve">Director Regional, solicita incluirlo en las próximas reuniones y negociación </w:t>
      </w:r>
    </w:p>
    <w:p w14:paraId="2FEA1EE2" w14:textId="1CBA3A28" w:rsidR="008B5658" w:rsidRPr="00BC2631" w:rsidRDefault="008B5658" w:rsidP="002E593A">
      <w:pPr>
        <w:jc w:val="both"/>
        <w:rPr>
          <w:rFonts w:ascii="Palatino Linotype" w:hAnsi="Palatino Linotype"/>
        </w:rPr>
      </w:pPr>
    </w:p>
    <w:p w14:paraId="6A1F7D6A" w14:textId="3F13A9AA" w:rsidR="001F1EB6" w:rsidRPr="00BC2631" w:rsidRDefault="001F1EB6" w:rsidP="002E593A">
      <w:pPr>
        <w:pStyle w:val="Prrafodelista"/>
        <w:numPr>
          <w:ilvl w:val="0"/>
          <w:numId w:val="11"/>
        </w:numPr>
        <w:jc w:val="both"/>
        <w:rPr>
          <w:rFonts w:ascii="Palatino Linotype" w:hAnsi="Palatino Linotype"/>
          <w:b/>
          <w:u w:val="single"/>
        </w:rPr>
      </w:pPr>
      <w:r w:rsidRPr="00BC2631">
        <w:rPr>
          <w:rFonts w:ascii="Palatino Linotype" w:hAnsi="Palatino Linotype"/>
          <w:b/>
          <w:u w:val="single"/>
        </w:rPr>
        <w:t>Presupuesto:</w:t>
      </w:r>
    </w:p>
    <w:p w14:paraId="70D3EE25" w14:textId="77777777" w:rsidR="002E593A" w:rsidRPr="00BC2631" w:rsidRDefault="002E593A" w:rsidP="002E593A">
      <w:pPr>
        <w:pStyle w:val="Prrafodelista"/>
        <w:jc w:val="both"/>
        <w:rPr>
          <w:rFonts w:ascii="Palatino Linotype" w:hAnsi="Palatino Linotype"/>
          <w:b/>
          <w:u w:val="single"/>
        </w:rPr>
      </w:pPr>
    </w:p>
    <w:p w14:paraId="321F538E" w14:textId="77777777" w:rsidR="00431B14" w:rsidRPr="00BC2631" w:rsidRDefault="00431B14" w:rsidP="00431B14">
      <w:pPr>
        <w:pStyle w:val="Prrafodelista"/>
        <w:numPr>
          <w:ilvl w:val="1"/>
          <w:numId w:val="11"/>
        </w:numPr>
        <w:jc w:val="both"/>
        <w:rPr>
          <w:rFonts w:ascii="Palatino Linotype" w:hAnsi="Palatino Linotype"/>
        </w:rPr>
      </w:pPr>
      <w:r w:rsidRPr="00BC2631">
        <w:rPr>
          <w:rFonts w:ascii="Palatino Linotype" w:hAnsi="Palatino Linotype"/>
        </w:rPr>
        <w:t>Convenio por 5 años y acuerdo renovable anual, sujeto al cumplimiento de metas y resultados.</w:t>
      </w:r>
    </w:p>
    <w:p w14:paraId="2299E732" w14:textId="77777777" w:rsidR="00431B14" w:rsidRPr="00BC2631" w:rsidRDefault="00431B14" w:rsidP="00431B14">
      <w:pPr>
        <w:pStyle w:val="Prrafodelista"/>
        <w:ind w:left="1440"/>
        <w:jc w:val="both"/>
        <w:rPr>
          <w:rFonts w:ascii="Palatino Linotype" w:hAnsi="Palatino Linotype"/>
        </w:rPr>
      </w:pPr>
    </w:p>
    <w:p w14:paraId="53A17854" w14:textId="77777777" w:rsidR="00431B14" w:rsidRPr="00BC2631" w:rsidRDefault="00431B14" w:rsidP="00431B14">
      <w:pPr>
        <w:pStyle w:val="Prrafodelista"/>
        <w:numPr>
          <w:ilvl w:val="1"/>
          <w:numId w:val="11"/>
        </w:numPr>
        <w:jc w:val="both"/>
        <w:rPr>
          <w:rFonts w:ascii="Palatino Linotype" w:hAnsi="Palatino Linotype"/>
        </w:rPr>
      </w:pPr>
      <w:r w:rsidRPr="00BC2631">
        <w:rPr>
          <w:rFonts w:ascii="Palatino Linotype" w:hAnsi="Palatino Linotype"/>
        </w:rPr>
        <w:t>La selección del operador fue resultado de la evaluación favorable de su propuesta, la cual consideraba el presupuesto de operación del centro y la proporcionalidad de los aportes (Sercotec y Operador considerando los propios y apalancados de terceros) del primer período.</w:t>
      </w:r>
    </w:p>
    <w:p w14:paraId="4412EBBF" w14:textId="77777777" w:rsidR="009E78C4" w:rsidRPr="00BC2631" w:rsidRDefault="009E78C4" w:rsidP="009E78C4">
      <w:pPr>
        <w:pStyle w:val="Prrafodelista"/>
        <w:ind w:left="1440"/>
        <w:jc w:val="both"/>
        <w:rPr>
          <w:rFonts w:ascii="Palatino Linotype" w:hAnsi="Palatino Linotype"/>
        </w:rPr>
      </w:pPr>
    </w:p>
    <w:p w14:paraId="7CA43270" w14:textId="14EE62AD" w:rsidR="009E78C4" w:rsidRPr="00BC2631" w:rsidRDefault="001071FD" w:rsidP="009E78C4">
      <w:pPr>
        <w:pStyle w:val="Prrafodelista"/>
        <w:numPr>
          <w:ilvl w:val="1"/>
          <w:numId w:val="11"/>
        </w:numPr>
        <w:jc w:val="both"/>
        <w:rPr>
          <w:rFonts w:ascii="Palatino Linotype" w:hAnsi="Palatino Linotype"/>
        </w:rPr>
      </w:pPr>
      <w:r w:rsidRPr="00BC2631">
        <w:rPr>
          <w:rFonts w:ascii="Palatino Linotype" w:hAnsi="Palatino Linotype"/>
        </w:rPr>
        <w:lastRenderedPageBreak/>
        <w:t>Dicha proporcionalidad de aportes debe mantenerse para la renov</w:t>
      </w:r>
      <w:r w:rsidR="007C0B4D" w:rsidRPr="00BC2631">
        <w:rPr>
          <w:rFonts w:ascii="Palatino Linotype" w:hAnsi="Palatino Linotype"/>
        </w:rPr>
        <w:t>ación del Acuerdo de Desempeño del segundo período.</w:t>
      </w:r>
    </w:p>
    <w:p w14:paraId="6B9979B0" w14:textId="77777777" w:rsidR="00431B14" w:rsidRPr="00BC2631" w:rsidRDefault="00431B14" w:rsidP="00431B14">
      <w:pPr>
        <w:pStyle w:val="Prrafodelista"/>
        <w:rPr>
          <w:rFonts w:ascii="Palatino Linotype" w:hAnsi="Palatino Linotype"/>
        </w:rPr>
      </w:pPr>
    </w:p>
    <w:p w14:paraId="7B5D2200" w14:textId="77777777" w:rsidR="002816CD" w:rsidRPr="00BC2631" w:rsidRDefault="002816CD" w:rsidP="00431B14">
      <w:pPr>
        <w:pStyle w:val="Prrafodelista"/>
        <w:rPr>
          <w:rFonts w:ascii="Palatino Linotype" w:hAnsi="Palatino Linotype"/>
        </w:rPr>
      </w:pPr>
    </w:p>
    <w:p w14:paraId="3EEE54F5" w14:textId="77777777" w:rsidR="002816CD" w:rsidRPr="00BC2631" w:rsidRDefault="002816CD" w:rsidP="00431B14">
      <w:pPr>
        <w:pStyle w:val="Prrafodelista"/>
        <w:rPr>
          <w:rFonts w:ascii="Palatino Linotype" w:hAnsi="Palatino Linotype"/>
        </w:rPr>
      </w:pPr>
    </w:p>
    <w:p w14:paraId="5C3D0AE2" w14:textId="4C687330" w:rsidR="002E593A" w:rsidRPr="00BC2631" w:rsidRDefault="008031FF" w:rsidP="002E593A">
      <w:pPr>
        <w:pStyle w:val="Prrafodelista"/>
        <w:numPr>
          <w:ilvl w:val="1"/>
          <w:numId w:val="11"/>
        </w:numPr>
        <w:jc w:val="both"/>
        <w:rPr>
          <w:rFonts w:ascii="Palatino Linotype" w:hAnsi="Palatino Linotype"/>
        </w:rPr>
      </w:pPr>
      <w:r w:rsidRPr="00BC2631">
        <w:rPr>
          <w:rFonts w:ascii="Palatino Linotype" w:hAnsi="Palatino Linotype"/>
        </w:rPr>
        <w:t>Revisión por p</w:t>
      </w:r>
      <w:r w:rsidR="002E593A" w:rsidRPr="00BC2631">
        <w:rPr>
          <w:rFonts w:ascii="Palatino Linotype" w:hAnsi="Palatino Linotype"/>
        </w:rPr>
        <w:t>artidas presupuestarias:</w:t>
      </w:r>
    </w:p>
    <w:p w14:paraId="11144E11" w14:textId="77777777" w:rsidR="001071FD" w:rsidRPr="00BC2631" w:rsidRDefault="001071FD" w:rsidP="001071FD">
      <w:pPr>
        <w:pStyle w:val="Prrafodelista"/>
        <w:rPr>
          <w:rFonts w:ascii="Palatino Linotype" w:hAnsi="Palatino Linotype"/>
        </w:rPr>
      </w:pPr>
    </w:p>
    <w:p w14:paraId="2CD76ABA" w14:textId="102B55BB" w:rsidR="002E593A" w:rsidRPr="00BC2631" w:rsidRDefault="002E593A" w:rsidP="002E593A">
      <w:pPr>
        <w:pStyle w:val="Prrafodelista"/>
        <w:numPr>
          <w:ilvl w:val="2"/>
          <w:numId w:val="11"/>
        </w:numPr>
        <w:jc w:val="both"/>
        <w:rPr>
          <w:rFonts w:ascii="Palatino Linotype" w:hAnsi="Palatino Linotype"/>
        </w:rPr>
      </w:pPr>
      <w:r w:rsidRPr="00BC2631">
        <w:rPr>
          <w:rFonts w:ascii="Palatino Linotype" w:hAnsi="Palatino Linotype"/>
        </w:rPr>
        <w:t xml:space="preserve">Recursos Humanos: </w:t>
      </w:r>
    </w:p>
    <w:p w14:paraId="2FD41EDF" w14:textId="76B2F58E" w:rsidR="005F718F" w:rsidRDefault="005F718F" w:rsidP="002E593A">
      <w:pPr>
        <w:pStyle w:val="Prrafodelista"/>
        <w:numPr>
          <w:ilvl w:val="0"/>
          <w:numId w:val="14"/>
        </w:numPr>
        <w:jc w:val="both"/>
        <w:rPr>
          <w:rFonts w:ascii="Palatino Linotype" w:hAnsi="Palatino Linotype"/>
        </w:rPr>
      </w:pPr>
      <w:r>
        <w:rPr>
          <w:rFonts w:ascii="Palatino Linotype" w:hAnsi="Palatino Linotype"/>
        </w:rPr>
        <w:t xml:space="preserve">Remuneraciones, el año pasado incluían locomoción, este año no, en remuneraciones esta como monto bruto. </w:t>
      </w:r>
    </w:p>
    <w:p w14:paraId="4A833ADA" w14:textId="20EA8881" w:rsidR="005F718F" w:rsidRDefault="005F718F" w:rsidP="002E593A">
      <w:pPr>
        <w:pStyle w:val="Prrafodelista"/>
        <w:numPr>
          <w:ilvl w:val="0"/>
          <w:numId w:val="14"/>
        </w:numPr>
        <w:jc w:val="both"/>
        <w:rPr>
          <w:rFonts w:ascii="Palatino Linotype" w:hAnsi="Palatino Linotype"/>
        </w:rPr>
      </w:pPr>
      <w:r>
        <w:rPr>
          <w:rFonts w:ascii="Palatino Linotype" w:hAnsi="Palatino Linotype"/>
        </w:rPr>
        <w:t xml:space="preserve">El año pasado, el bono de locomoción se </w:t>
      </w:r>
      <w:proofErr w:type="spellStart"/>
      <w:r>
        <w:rPr>
          <w:rFonts w:ascii="Palatino Linotype" w:hAnsi="Palatino Linotype"/>
        </w:rPr>
        <w:t>reitemizó</w:t>
      </w:r>
      <w:proofErr w:type="spellEnd"/>
      <w:r>
        <w:rPr>
          <w:rFonts w:ascii="Palatino Linotype" w:hAnsi="Palatino Linotype"/>
        </w:rPr>
        <w:t xml:space="preserve"> a traslados y </w:t>
      </w:r>
      <w:r w:rsidR="00BB422C">
        <w:rPr>
          <w:rFonts w:ascii="Palatino Linotype" w:hAnsi="Palatino Linotype"/>
        </w:rPr>
        <w:t>viáticos.</w:t>
      </w:r>
    </w:p>
    <w:p w14:paraId="420DEA26" w14:textId="736E8C72" w:rsidR="005F718F" w:rsidRDefault="005F718F" w:rsidP="002E593A">
      <w:pPr>
        <w:pStyle w:val="Prrafodelista"/>
        <w:numPr>
          <w:ilvl w:val="0"/>
          <w:numId w:val="14"/>
        </w:numPr>
        <w:jc w:val="both"/>
        <w:rPr>
          <w:rFonts w:ascii="Palatino Linotype" w:hAnsi="Palatino Linotype"/>
        </w:rPr>
      </w:pPr>
      <w:r>
        <w:rPr>
          <w:rFonts w:ascii="Palatino Linotype" w:hAnsi="Palatino Linotype"/>
        </w:rPr>
        <w:t xml:space="preserve">Asistente administrativo, </w:t>
      </w:r>
      <w:r w:rsidR="00BB422C">
        <w:rPr>
          <w:rFonts w:ascii="Palatino Linotype" w:hAnsi="Palatino Linotype"/>
        </w:rPr>
        <w:t>tiene un sueldo bruto de 700.000 está cumpliendo rol de asistente ejecutivo.</w:t>
      </w:r>
    </w:p>
    <w:p w14:paraId="77B11199" w14:textId="06EAD0F8" w:rsidR="005F718F" w:rsidRDefault="00BB422C" w:rsidP="002E593A">
      <w:pPr>
        <w:pStyle w:val="Prrafodelista"/>
        <w:numPr>
          <w:ilvl w:val="0"/>
          <w:numId w:val="14"/>
        </w:numPr>
        <w:jc w:val="both"/>
        <w:rPr>
          <w:rFonts w:ascii="Palatino Linotype" w:hAnsi="Palatino Linotype"/>
        </w:rPr>
      </w:pPr>
      <w:r>
        <w:rPr>
          <w:rFonts w:ascii="Palatino Linotype" w:hAnsi="Palatino Linotype"/>
        </w:rPr>
        <w:t xml:space="preserve">Se debe regularizar la situación contractual del asistente administrativo </w:t>
      </w:r>
    </w:p>
    <w:p w14:paraId="4A9AAEDB" w14:textId="4E76D5DB" w:rsidR="00BB422C" w:rsidRDefault="00BB422C" w:rsidP="002E593A">
      <w:pPr>
        <w:pStyle w:val="Prrafodelista"/>
        <w:numPr>
          <w:ilvl w:val="0"/>
          <w:numId w:val="14"/>
        </w:numPr>
        <w:jc w:val="both"/>
        <w:rPr>
          <w:rFonts w:ascii="Palatino Linotype" w:hAnsi="Palatino Linotype"/>
        </w:rPr>
      </w:pPr>
      <w:r>
        <w:rPr>
          <w:rFonts w:ascii="Palatino Linotype" w:hAnsi="Palatino Linotype"/>
        </w:rPr>
        <w:t>Se puede incluir una persona de apoyo en el ítem de servicios básicos y generales ajustando presupuesto sin pasarse del monto.</w:t>
      </w:r>
    </w:p>
    <w:p w14:paraId="700A193B" w14:textId="7E103028" w:rsidR="00BB422C" w:rsidRDefault="00BB422C" w:rsidP="002E593A">
      <w:pPr>
        <w:pStyle w:val="Prrafodelista"/>
        <w:numPr>
          <w:ilvl w:val="0"/>
          <w:numId w:val="14"/>
        </w:numPr>
        <w:jc w:val="both"/>
        <w:rPr>
          <w:rFonts w:ascii="Palatino Linotype" w:hAnsi="Palatino Linotype"/>
        </w:rPr>
      </w:pPr>
      <w:r>
        <w:rPr>
          <w:rFonts w:ascii="Palatino Linotype" w:hAnsi="Palatino Linotype"/>
        </w:rPr>
        <w:t xml:space="preserve">IAS y vacaciones del primer año, </w:t>
      </w:r>
      <w:proofErr w:type="spellStart"/>
      <w:r>
        <w:rPr>
          <w:rFonts w:ascii="Palatino Linotype" w:hAnsi="Palatino Linotype"/>
        </w:rPr>
        <w:t>virificar</w:t>
      </w:r>
      <w:proofErr w:type="spellEnd"/>
      <w:r>
        <w:rPr>
          <w:rFonts w:ascii="Palatino Linotype" w:hAnsi="Palatino Linotype"/>
        </w:rPr>
        <w:t xml:space="preserve"> si quedarán </w:t>
      </w:r>
      <w:r w:rsidR="00B1555F">
        <w:rPr>
          <w:rFonts w:ascii="Palatino Linotype" w:hAnsi="Palatino Linotype"/>
        </w:rPr>
        <w:t>provisionados</w:t>
      </w:r>
      <w:r>
        <w:rPr>
          <w:rFonts w:ascii="Palatino Linotype" w:hAnsi="Palatino Linotype"/>
        </w:rPr>
        <w:t>, se podría reitemizar los honorarios</w:t>
      </w:r>
    </w:p>
    <w:p w14:paraId="41AF4B4F" w14:textId="0E4BBD8B" w:rsidR="00BB422C" w:rsidRDefault="00BB422C" w:rsidP="002E593A">
      <w:pPr>
        <w:pStyle w:val="Prrafodelista"/>
        <w:numPr>
          <w:ilvl w:val="0"/>
          <w:numId w:val="14"/>
        </w:numPr>
        <w:jc w:val="both"/>
        <w:rPr>
          <w:rFonts w:ascii="Palatino Linotype" w:hAnsi="Palatino Linotype"/>
        </w:rPr>
      </w:pPr>
      <w:r>
        <w:rPr>
          <w:rFonts w:ascii="Palatino Linotype" w:hAnsi="Palatino Linotype"/>
        </w:rPr>
        <w:t xml:space="preserve">Aportes en remuneraciones son el costo empresa </w:t>
      </w:r>
    </w:p>
    <w:p w14:paraId="7CE8E951" w14:textId="0242C51A" w:rsidR="00BB422C" w:rsidRDefault="00BB422C" w:rsidP="002E593A">
      <w:pPr>
        <w:pStyle w:val="Prrafodelista"/>
        <w:numPr>
          <w:ilvl w:val="0"/>
          <w:numId w:val="14"/>
        </w:numPr>
        <w:jc w:val="both"/>
        <w:rPr>
          <w:rFonts w:ascii="Palatino Linotype" w:hAnsi="Palatino Linotype"/>
        </w:rPr>
      </w:pPr>
      <w:r>
        <w:rPr>
          <w:rFonts w:ascii="Palatino Linotype" w:hAnsi="Palatino Linotype"/>
        </w:rPr>
        <w:t>Aportes Honorarios, se solicita memoria de cálculo en éste ítem, explicar que significa SII en el presupuesto, se comprometió el jefe del servicio apoyar al centro en charlas de facturación electrónico, (</w:t>
      </w:r>
      <w:proofErr w:type="spellStart"/>
      <w:r w:rsidR="0066026F">
        <w:rPr>
          <w:rFonts w:ascii="Palatino Linotype" w:hAnsi="Palatino Linotype"/>
        </w:rPr>
        <w:t>P</w:t>
      </w:r>
      <w:r>
        <w:rPr>
          <w:rFonts w:ascii="Palatino Linotype" w:hAnsi="Palatino Linotype"/>
        </w:rPr>
        <w:t>eyuhue</w:t>
      </w:r>
      <w:proofErr w:type="spellEnd"/>
      <w:r w:rsidR="0066026F">
        <w:rPr>
          <w:rFonts w:ascii="Palatino Linotype" w:hAnsi="Palatino Linotype"/>
        </w:rPr>
        <w:t>,</w:t>
      </w:r>
      <w:r>
        <w:rPr>
          <w:rFonts w:ascii="Palatino Linotype" w:hAnsi="Palatino Linotype"/>
        </w:rPr>
        <w:t xml:space="preserve"> chanco y empedrado) si se contabiliza como capacitación debe ser imputado al ítem de capacitación.</w:t>
      </w:r>
    </w:p>
    <w:p w14:paraId="51BF1A76" w14:textId="76B84B7C" w:rsidR="008170F2" w:rsidRDefault="008170F2" w:rsidP="002E593A">
      <w:pPr>
        <w:pStyle w:val="Prrafodelista"/>
        <w:numPr>
          <w:ilvl w:val="0"/>
          <w:numId w:val="14"/>
        </w:numPr>
        <w:jc w:val="both"/>
        <w:rPr>
          <w:rFonts w:ascii="Palatino Linotype" w:hAnsi="Palatino Linotype"/>
        </w:rPr>
      </w:pPr>
      <w:r>
        <w:rPr>
          <w:rFonts w:ascii="Palatino Linotype" w:hAnsi="Palatino Linotype"/>
        </w:rPr>
        <w:t xml:space="preserve">Horas de </w:t>
      </w:r>
      <w:proofErr w:type="spellStart"/>
      <w:r>
        <w:rPr>
          <w:rFonts w:ascii="Palatino Linotype" w:hAnsi="Palatino Linotype"/>
        </w:rPr>
        <w:t>vicerectoría</w:t>
      </w:r>
      <w:proofErr w:type="spellEnd"/>
      <w:r>
        <w:rPr>
          <w:rFonts w:ascii="Palatino Linotype" w:hAnsi="Palatino Linotype"/>
        </w:rPr>
        <w:t xml:space="preserve"> no corresponde como parte de los aportes, se solicita sacar del presupuesto, SERCOTEC, paga OH para la supervisión y administración del proyecto </w:t>
      </w:r>
    </w:p>
    <w:p w14:paraId="096C189C" w14:textId="77777777" w:rsidR="007E7CDD" w:rsidRPr="00BC2631" w:rsidRDefault="007E7CDD" w:rsidP="007E7CDD">
      <w:pPr>
        <w:pStyle w:val="Prrafodelista"/>
        <w:ind w:left="2520"/>
        <w:jc w:val="both"/>
        <w:rPr>
          <w:rFonts w:ascii="Palatino Linotype" w:hAnsi="Palatino Linotype"/>
        </w:rPr>
      </w:pPr>
    </w:p>
    <w:p w14:paraId="55BCBF9B" w14:textId="7D58581E" w:rsidR="002E593A" w:rsidRDefault="002E593A" w:rsidP="002E593A">
      <w:pPr>
        <w:pStyle w:val="Prrafodelista"/>
        <w:numPr>
          <w:ilvl w:val="2"/>
          <w:numId w:val="11"/>
        </w:numPr>
        <w:jc w:val="both"/>
        <w:rPr>
          <w:rFonts w:ascii="Palatino Linotype" w:hAnsi="Palatino Linotype"/>
        </w:rPr>
      </w:pPr>
      <w:r w:rsidRPr="00BC2631">
        <w:rPr>
          <w:rFonts w:ascii="Palatino Linotype" w:hAnsi="Palatino Linotype"/>
        </w:rPr>
        <w:t>Operación</w:t>
      </w:r>
      <w:r w:rsidR="009E78C4" w:rsidRPr="00BC2631">
        <w:rPr>
          <w:rFonts w:ascii="Palatino Linotype" w:hAnsi="Palatino Linotype"/>
        </w:rPr>
        <w:t>:</w:t>
      </w:r>
    </w:p>
    <w:p w14:paraId="1210F3F2" w14:textId="77777777" w:rsidR="008170F2" w:rsidRPr="00BC2631" w:rsidRDefault="008170F2" w:rsidP="008170F2">
      <w:pPr>
        <w:pStyle w:val="Prrafodelista"/>
        <w:ind w:left="2160"/>
        <w:jc w:val="both"/>
        <w:rPr>
          <w:rFonts w:ascii="Palatino Linotype" w:hAnsi="Palatino Linotype"/>
        </w:rPr>
      </w:pPr>
    </w:p>
    <w:p w14:paraId="2F6B4330" w14:textId="6AFEE1AB" w:rsidR="008170F2" w:rsidRDefault="008170F2" w:rsidP="009E78C4">
      <w:pPr>
        <w:pStyle w:val="Prrafodelista"/>
        <w:numPr>
          <w:ilvl w:val="0"/>
          <w:numId w:val="14"/>
        </w:numPr>
        <w:jc w:val="both"/>
        <w:rPr>
          <w:rFonts w:ascii="Palatino Linotype" w:hAnsi="Palatino Linotype"/>
        </w:rPr>
      </w:pPr>
      <w:r>
        <w:rPr>
          <w:rFonts w:ascii="Palatino Linotype" w:hAnsi="Palatino Linotype"/>
        </w:rPr>
        <w:t xml:space="preserve">Ítem publicidad, se solicita memoria de calculo </w:t>
      </w:r>
    </w:p>
    <w:p w14:paraId="4F2449C4" w14:textId="3F0DF18F" w:rsidR="008170F2" w:rsidRDefault="008170F2" w:rsidP="009E78C4">
      <w:pPr>
        <w:pStyle w:val="Prrafodelista"/>
        <w:numPr>
          <w:ilvl w:val="0"/>
          <w:numId w:val="14"/>
        </w:numPr>
        <w:jc w:val="both"/>
        <w:rPr>
          <w:rFonts w:ascii="Palatino Linotype" w:hAnsi="Palatino Linotype"/>
        </w:rPr>
      </w:pPr>
      <w:r>
        <w:rPr>
          <w:rFonts w:ascii="Palatino Linotype" w:hAnsi="Palatino Linotype"/>
        </w:rPr>
        <w:t>Arriendo, son las infraestructura de los socios estratégicos</w:t>
      </w:r>
    </w:p>
    <w:p w14:paraId="14F8C701" w14:textId="65C9353A" w:rsidR="008170F2" w:rsidRDefault="008170F2" w:rsidP="009E78C4">
      <w:pPr>
        <w:pStyle w:val="Prrafodelista"/>
        <w:numPr>
          <w:ilvl w:val="0"/>
          <w:numId w:val="14"/>
        </w:numPr>
        <w:jc w:val="both"/>
        <w:rPr>
          <w:rFonts w:ascii="Palatino Linotype" w:hAnsi="Palatino Linotype"/>
        </w:rPr>
      </w:pPr>
      <w:r>
        <w:rPr>
          <w:rFonts w:ascii="Palatino Linotype" w:hAnsi="Palatino Linotype"/>
        </w:rPr>
        <w:t>Licencias Neoserra, pendiente hacer consulta, como se tratará el costo de Neoserra.</w:t>
      </w:r>
    </w:p>
    <w:p w14:paraId="730BD38D" w14:textId="59E6873D" w:rsidR="008170F2" w:rsidRDefault="008170F2" w:rsidP="009E78C4">
      <w:pPr>
        <w:pStyle w:val="Prrafodelista"/>
        <w:numPr>
          <w:ilvl w:val="0"/>
          <w:numId w:val="14"/>
        </w:numPr>
        <w:jc w:val="both"/>
        <w:rPr>
          <w:rFonts w:ascii="Palatino Linotype" w:hAnsi="Palatino Linotype"/>
        </w:rPr>
      </w:pPr>
      <w:r>
        <w:rPr>
          <w:rFonts w:ascii="Palatino Linotype" w:hAnsi="Palatino Linotype"/>
        </w:rPr>
        <w:t xml:space="preserve">Capacitación esta en 0, se solicita aclarar, reprogramar este ítem de acuerdo a la naturaleza del gasto, en el plan de capacitación debe estar reflejado en el presupuesto. </w:t>
      </w:r>
    </w:p>
    <w:p w14:paraId="7BDF0480" w14:textId="56A93771" w:rsidR="008170F2" w:rsidRDefault="008170F2" w:rsidP="009E78C4">
      <w:pPr>
        <w:pStyle w:val="Prrafodelista"/>
        <w:numPr>
          <w:ilvl w:val="0"/>
          <w:numId w:val="14"/>
        </w:numPr>
        <w:jc w:val="both"/>
        <w:rPr>
          <w:rFonts w:ascii="Palatino Linotype" w:hAnsi="Palatino Linotype"/>
        </w:rPr>
      </w:pPr>
      <w:r>
        <w:rPr>
          <w:rFonts w:ascii="Palatino Linotype" w:hAnsi="Palatino Linotype"/>
        </w:rPr>
        <w:t xml:space="preserve">En capacitación RRHH, si existe un </w:t>
      </w:r>
      <w:proofErr w:type="spellStart"/>
      <w:r>
        <w:rPr>
          <w:rFonts w:ascii="Palatino Linotype" w:hAnsi="Palatino Linotype"/>
        </w:rPr>
        <w:t>Coaching</w:t>
      </w:r>
      <w:proofErr w:type="spellEnd"/>
      <w:r>
        <w:rPr>
          <w:rFonts w:ascii="Palatino Linotype" w:hAnsi="Palatino Linotype"/>
        </w:rPr>
        <w:t xml:space="preserve"> no debe superar 1 </w:t>
      </w:r>
      <w:r w:rsidR="0066026F">
        <w:rPr>
          <w:rFonts w:ascii="Palatino Linotype" w:hAnsi="Palatino Linotype"/>
        </w:rPr>
        <w:t>millón</w:t>
      </w:r>
      <w:r>
        <w:rPr>
          <w:rFonts w:ascii="Palatino Linotype" w:hAnsi="Palatino Linotype"/>
        </w:rPr>
        <w:t xml:space="preserve"> de pesos, y este ítem </w:t>
      </w:r>
      <w:r w:rsidR="0066026F">
        <w:rPr>
          <w:rFonts w:ascii="Palatino Linotype" w:hAnsi="Palatino Linotype"/>
        </w:rPr>
        <w:t xml:space="preserve">no debe ser mayor al 20% del ítem completo capacitación del aporte Sercotec </w:t>
      </w:r>
    </w:p>
    <w:p w14:paraId="68E32C62" w14:textId="490BA3C0" w:rsidR="0066026F" w:rsidRDefault="0066026F" w:rsidP="0066026F">
      <w:pPr>
        <w:pStyle w:val="Prrafodelista"/>
        <w:numPr>
          <w:ilvl w:val="0"/>
          <w:numId w:val="14"/>
        </w:numPr>
        <w:jc w:val="both"/>
        <w:rPr>
          <w:rFonts w:ascii="Palatino Linotype" w:hAnsi="Palatino Linotype"/>
        </w:rPr>
      </w:pPr>
      <w:r>
        <w:rPr>
          <w:rFonts w:ascii="Palatino Linotype" w:hAnsi="Palatino Linotype"/>
        </w:rPr>
        <w:lastRenderedPageBreak/>
        <w:t>C</w:t>
      </w:r>
      <w:r w:rsidRPr="00BC2631">
        <w:rPr>
          <w:rFonts w:ascii="Palatino Linotype" w:hAnsi="Palatino Linotype"/>
        </w:rPr>
        <w:t>onsiderar dentro del ítem presupuestario</w:t>
      </w:r>
      <w:r>
        <w:rPr>
          <w:rFonts w:ascii="Palatino Linotype" w:hAnsi="Palatino Linotype"/>
        </w:rPr>
        <w:t xml:space="preserve"> capacitación RRHH</w:t>
      </w:r>
      <w:r w:rsidRPr="00BC2631">
        <w:rPr>
          <w:rFonts w:ascii="Palatino Linotype" w:hAnsi="Palatino Linotype"/>
        </w:rPr>
        <w:t>, al menos dos visitas al Nivel Central del equipo regional (traslados y viáticos), para encuentros nacionales según pertinencia. Adicionalmente, considerar una capacitación vinculada al manejo de clientes conflictivos para el equipo del centro, trabajo en equipo y otros relacionados que contribuyan a un favorable clima laboral.</w:t>
      </w:r>
    </w:p>
    <w:p w14:paraId="33FBAD24" w14:textId="77777777" w:rsidR="0066026F" w:rsidRDefault="0066026F" w:rsidP="0066026F">
      <w:pPr>
        <w:pStyle w:val="Prrafodelista"/>
        <w:ind w:left="2520"/>
        <w:jc w:val="both"/>
        <w:rPr>
          <w:rFonts w:ascii="Palatino Linotype" w:hAnsi="Palatino Linotype"/>
        </w:rPr>
      </w:pPr>
    </w:p>
    <w:p w14:paraId="7389350D" w14:textId="77777777" w:rsidR="0066026F" w:rsidRPr="0066026F" w:rsidRDefault="0066026F" w:rsidP="0066026F">
      <w:pPr>
        <w:pStyle w:val="Prrafodelista"/>
        <w:numPr>
          <w:ilvl w:val="0"/>
          <w:numId w:val="14"/>
        </w:numPr>
        <w:jc w:val="both"/>
        <w:rPr>
          <w:rFonts w:ascii="Palatino Linotype" w:hAnsi="Palatino Linotype"/>
        </w:rPr>
      </w:pPr>
      <w:r w:rsidRPr="0066026F">
        <w:rPr>
          <w:rFonts w:ascii="Palatino Linotype" w:hAnsi="Palatino Linotype"/>
        </w:rPr>
        <w:t>Escuela de Negocio para el Fortalecimiento de Mujeres: Procurar el desarrollo permanente de dicha escuela con los aportes de terceros y socios estratégicos, considerando que la metodología y contenidos ya se encuentre elaborada por Sercotec, con una periodicidad de tres meses, y revisiones de la actividad para evaluar sus resultados.</w:t>
      </w:r>
    </w:p>
    <w:p w14:paraId="71C52A7B" w14:textId="77777777" w:rsidR="0066026F" w:rsidRPr="0066026F" w:rsidRDefault="0066026F" w:rsidP="0066026F">
      <w:pPr>
        <w:pStyle w:val="Prrafodelista"/>
        <w:ind w:left="2520"/>
        <w:jc w:val="both"/>
        <w:rPr>
          <w:rFonts w:ascii="Palatino Linotype" w:hAnsi="Palatino Linotype"/>
        </w:rPr>
      </w:pPr>
      <w:r w:rsidRPr="0066026F">
        <w:rPr>
          <w:rFonts w:ascii="Palatino Linotype" w:hAnsi="Palatino Linotype"/>
        </w:rPr>
        <w:t>Los resultados del programa piloto implementado, indican que las mujeres participantes del programa de emprendimiento femenino y que fueron derivadas a un centro, requieren un menor número de horas de asesoría, presentan una menor deserción y mayor compromiso, por lo que la implementación del Programa retribuirá de manera favorable a los resultados del centro y su gestión.</w:t>
      </w:r>
    </w:p>
    <w:p w14:paraId="5E95DCA8" w14:textId="77777777" w:rsidR="0066026F" w:rsidRDefault="0066026F" w:rsidP="0066026F">
      <w:pPr>
        <w:pStyle w:val="Prrafodelista"/>
        <w:ind w:left="2520"/>
        <w:jc w:val="both"/>
        <w:rPr>
          <w:rFonts w:ascii="Palatino Linotype" w:hAnsi="Palatino Linotype"/>
        </w:rPr>
      </w:pPr>
    </w:p>
    <w:p w14:paraId="51A76174" w14:textId="77777777" w:rsidR="0066026F" w:rsidRDefault="0066026F" w:rsidP="0066026F">
      <w:pPr>
        <w:pStyle w:val="Prrafodelista"/>
        <w:ind w:left="2520"/>
        <w:jc w:val="both"/>
        <w:rPr>
          <w:rFonts w:ascii="Palatino Linotype" w:hAnsi="Palatino Linotype"/>
        </w:rPr>
      </w:pPr>
    </w:p>
    <w:p w14:paraId="330FC029" w14:textId="34C0C7C9" w:rsidR="002E593A" w:rsidRDefault="002E593A" w:rsidP="002E593A">
      <w:pPr>
        <w:pStyle w:val="Prrafodelista"/>
        <w:numPr>
          <w:ilvl w:val="2"/>
          <w:numId w:val="11"/>
        </w:numPr>
        <w:jc w:val="both"/>
        <w:rPr>
          <w:rFonts w:ascii="Palatino Linotype" w:hAnsi="Palatino Linotype"/>
        </w:rPr>
      </w:pPr>
      <w:r w:rsidRPr="00BC2631">
        <w:rPr>
          <w:rFonts w:ascii="Palatino Linotype" w:hAnsi="Palatino Linotype"/>
        </w:rPr>
        <w:t>Administración</w:t>
      </w:r>
      <w:r w:rsidR="00E74D37" w:rsidRPr="00BC2631">
        <w:rPr>
          <w:rFonts w:ascii="Palatino Linotype" w:hAnsi="Palatino Linotype"/>
        </w:rPr>
        <w:t xml:space="preserve">. </w:t>
      </w:r>
    </w:p>
    <w:p w14:paraId="000534D4" w14:textId="77777777" w:rsidR="0066026F" w:rsidRDefault="0066026F" w:rsidP="0066026F">
      <w:pPr>
        <w:pStyle w:val="Prrafodelista"/>
        <w:ind w:left="2160"/>
        <w:jc w:val="both"/>
        <w:rPr>
          <w:rFonts w:ascii="Palatino Linotype" w:hAnsi="Palatino Linotype"/>
        </w:rPr>
      </w:pPr>
    </w:p>
    <w:p w14:paraId="2455DE3C" w14:textId="3988D6DB" w:rsidR="0066026F" w:rsidRPr="00BC2631" w:rsidRDefault="0066026F" w:rsidP="0066026F">
      <w:pPr>
        <w:pStyle w:val="Prrafodelista"/>
        <w:numPr>
          <w:ilvl w:val="0"/>
          <w:numId w:val="14"/>
        </w:numPr>
        <w:jc w:val="both"/>
        <w:rPr>
          <w:rFonts w:ascii="Palatino Linotype" w:hAnsi="Palatino Linotype"/>
        </w:rPr>
      </w:pPr>
      <w:r>
        <w:rPr>
          <w:rFonts w:ascii="Palatino Linotype" w:hAnsi="Palatino Linotype"/>
        </w:rPr>
        <w:t xml:space="preserve">Garantías, debe ser un monto lo más cercano al real posible ya que éste ítem no se puede redistribuir </w:t>
      </w:r>
    </w:p>
    <w:p w14:paraId="1FF7D2CA" w14:textId="77777777" w:rsidR="002E593A" w:rsidRPr="00BC2631" w:rsidRDefault="002E593A" w:rsidP="002E593A">
      <w:pPr>
        <w:pStyle w:val="Prrafodelista"/>
        <w:jc w:val="both"/>
        <w:rPr>
          <w:rFonts w:ascii="Palatino Linotype" w:hAnsi="Palatino Linotype"/>
          <w:b/>
          <w:u w:val="single"/>
        </w:rPr>
      </w:pPr>
    </w:p>
    <w:p w14:paraId="6C069138" w14:textId="1ED67392" w:rsidR="00851385" w:rsidRPr="00BC2631" w:rsidRDefault="00851385" w:rsidP="002E593A">
      <w:pPr>
        <w:pStyle w:val="Prrafodelista"/>
        <w:numPr>
          <w:ilvl w:val="0"/>
          <w:numId w:val="11"/>
        </w:numPr>
        <w:jc w:val="both"/>
        <w:rPr>
          <w:rFonts w:ascii="Palatino Linotype" w:hAnsi="Palatino Linotype"/>
          <w:b/>
          <w:u w:val="single"/>
        </w:rPr>
      </w:pPr>
      <w:r w:rsidRPr="00BC2631">
        <w:rPr>
          <w:rFonts w:ascii="Palatino Linotype" w:hAnsi="Palatino Linotype"/>
          <w:b/>
          <w:u w:val="single"/>
        </w:rPr>
        <w:t>Indicadores:</w:t>
      </w:r>
    </w:p>
    <w:p w14:paraId="775DB404" w14:textId="7284F321" w:rsidR="00C75296" w:rsidRPr="00BC2631" w:rsidRDefault="00C75296" w:rsidP="00C75296">
      <w:pPr>
        <w:pStyle w:val="Prrafodelista"/>
        <w:numPr>
          <w:ilvl w:val="1"/>
          <w:numId w:val="11"/>
        </w:numPr>
        <w:jc w:val="both"/>
        <w:rPr>
          <w:rFonts w:ascii="Palatino Linotype" w:hAnsi="Palatino Linotype"/>
        </w:rPr>
      </w:pPr>
      <w:r w:rsidRPr="00BC2631">
        <w:rPr>
          <w:rFonts w:ascii="Palatino Linotype" w:hAnsi="Palatino Linotype"/>
        </w:rPr>
        <w:t xml:space="preserve">A la fecha es visualiza un nivel de cumplimiento del </w:t>
      </w:r>
      <w:r w:rsidR="0066026F">
        <w:rPr>
          <w:rFonts w:ascii="Palatino Linotype" w:hAnsi="Palatino Linotype"/>
        </w:rPr>
        <w:t>76</w:t>
      </w:r>
      <w:r w:rsidRPr="00BC2631">
        <w:rPr>
          <w:rFonts w:ascii="Palatino Linotype" w:hAnsi="Palatino Linotype"/>
        </w:rPr>
        <w:t>% en el número de asesorados</w:t>
      </w:r>
      <w:r w:rsidR="00E74D37" w:rsidRPr="00BC2631">
        <w:rPr>
          <w:rFonts w:ascii="Palatino Linotype" w:hAnsi="Palatino Linotype"/>
        </w:rPr>
        <w:t>. Se solicita p</w:t>
      </w:r>
      <w:r w:rsidRPr="00BC2631">
        <w:rPr>
          <w:rFonts w:ascii="Palatino Linotype" w:hAnsi="Palatino Linotype"/>
        </w:rPr>
        <w:t xml:space="preserve">oner énfasis </w:t>
      </w:r>
      <w:r w:rsidR="00E74D37" w:rsidRPr="00BC2631">
        <w:rPr>
          <w:rFonts w:ascii="Palatino Linotype" w:hAnsi="Palatino Linotype"/>
        </w:rPr>
        <w:t>en el</w:t>
      </w:r>
      <w:r w:rsidRPr="00BC2631">
        <w:rPr>
          <w:rFonts w:ascii="Palatino Linotype" w:hAnsi="Palatino Linotype"/>
        </w:rPr>
        <w:t xml:space="preserve"> cumpl</w:t>
      </w:r>
      <w:r w:rsidR="00E74D37" w:rsidRPr="00BC2631">
        <w:rPr>
          <w:rFonts w:ascii="Palatino Linotype" w:hAnsi="Palatino Linotype"/>
        </w:rPr>
        <w:t>imiento de aportes de terceros, los cuales no han sido efectivos a la fecha.</w:t>
      </w:r>
    </w:p>
    <w:p w14:paraId="77E6678C" w14:textId="42448C09" w:rsidR="00E74D37" w:rsidRPr="00BC2631" w:rsidRDefault="006C6A93" w:rsidP="00E74D37">
      <w:pPr>
        <w:pStyle w:val="Prrafodelista"/>
        <w:numPr>
          <w:ilvl w:val="1"/>
          <w:numId w:val="11"/>
        </w:numPr>
        <w:jc w:val="both"/>
        <w:rPr>
          <w:rFonts w:ascii="Palatino Linotype" w:hAnsi="Palatino Linotype"/>
        </w:rPr>
      </w:pPr>
      <w:r w:rsidRPr="00BC2631">
        <w:rPr>
          <w:rFonts w:ascii="Palatino Linotype" w:hAnsi="Palatino Linotype"/>
        </w:rPr>
        <w:t>Se establecerán dos tipos de indicadores: de procesos y de impacto. Los indicadores de procesos son el resultado de la gestión, y serán medidos por Sercotec en el proceso de seguimiento del centro</w:t>
      </w:r>
      <w:r w:rsidR="00E74D37" w:rsidRPr="00BC2631">
        <w:rPr>
          <w:rFonts w:ascii="Palatino Linotype" w:hAnsi="Palatino Linotype"/>
        </w:rPr>
        <w:t>, destacando cinco ámbitos de medición: atracción de clientes, cobertura del centro, recursos humanos y procesos internos, servicios del centro, gestión de metas y resultados.</w:t>
      </w:r>
    </w:p>
    <w:p w14:paraId="3D58D2DB" w14:textId="60C4975F" w:rsidR="001C614A" w:rsidRPr="00BC2631" w:rsidRDefault="006C6A93" w:rsidP="006C6A93">
      <w:pPr>
        <w:pStyle w:val="Prrafodelista"/>
        <w:numPr>
          <w:ilvl w:val="1"/>
          <w:numId w:val="11"/>
        </w:numPr>
        <w:jc w:val="both"/>
        <w:rPr>
          <w:rFonts w:ascii="Palatino Linotype" w:hAnsi="Palatino Linotype"/>
        </w:rPr>
      </w:pPr>
      <w:r w:rsidRPr="00BC2631">
        <w:rPr>
          <w:rFonts w:ascii="Palatino Linotype" w:hAnsi="Palatino Linotype"/>
        </w:rPr>
        <w:t xml:space="preserve">El centro podrá identificar sus propios indicadores de procesos, y realizar monitoreo interno y permanente. </w:t>
      </w:r>
    </w:p>
    <w:p w14:paraId="68F96014" w14:textId="5AF94286" w:rsidR="005630E7" w:rsidRDefault="005630E7" w:rsidP="005630E7">
      <w:pPr>
        <w:pStyle w:val="Prrafodelista"/>
        <w:numPr>
          <w:ilvl w:val="1"/>
          <w:numId w:val="11"/>
        </w:numPr>
        <w:jc w:val="both"/>
        <w:rPr>
          <w:rFonts w:ascii="Palatino Linotype" w:hAnsi="Palatino Linotype"/>
        </w:rPr>
      </w:pPr>
      <w:r w:rsidRPr="00BC2631">
        <w:rPr>
          <w:rFonts w:ascii="Palatino Linotype" w:hAnsi="Palatino Linotype"/>
        </w:rPr>
        <w:t>A continuación se indican l</w:t>
      </w:r>
      <w:r w:rsidR="006C6A93" w:rsidRPr="00BC2631">
        <w:rPr>
          <w:rFonts w:ascii="Palatino Linotype" w:hAnsi="Palatino Linotype"/>
        </w:rPr>
        <w:t xml:space="preserve">os indicadores de impacto y de los cuales se solicita </w:t>
      </w:r>
      <w:r w:rsidR="00E74D37" w:rsidRPr="00BC2631">
        <w:rPr>
          <w:rFonts w:ascii="Palatino Linotype" w:hAnsi="Palatino Linotype"/>
        </w:rPr>
        <w:t>comprometer una meta, considerando las siguientes observaciones:</w:t>
      </w:r>
    </w:p>
    <w:p w14:paraId="1FDC2FD7" w14:textId="77777777" w:rsidR="00A66060" w:rsidRDefault="00A66060" w:rsidP="00A66060">
      <w:pPr>
        <w:jc w:val="both"/>
        <w:rPr>
          <w:rFonts w:ascii="Palatino Linotype" w:hAnsi="Palatino Linotype"/>
        </w:rPr>
      </w:pPr>
    </w:p>
    <w:p w14:paraId="27EFCA43" w14:textId="77777777" w:rsidR="00A66060" w:rsidRDefault="00A66060" w:rsidP="00A66060">
      <w:pPr>
        <w:jc w:val="both"/>
        <w:rPr>
          <w:rFonts w:ascii="Palatino Linotype" w:hAnsi="Palatino Linotype"/>
        </w:rPr>
      </w:pPr>
    </w:p>
    <w:p w14:paraId="5F62BB1C" w14:textId="77777777" w:rsidR="0066026F" w:rsidRDefault="0066026F" w:rsidP="00A66060">
      <w:pPr>
        <w:jc w:val="both"/>
        <w:rPr>
          <w:rFonts w:ascii="Palatino Linotype" w:hAnsi="Palatino Linotype"/>
        </w:rPr>
      </w:pPr>
    </w:p>
    <w:p w14:paraId="352F2776" w14:textId="77777777" w:rsidR="00A66060" w:rsidRPr="00A66060" w:rsidRDefault="00A66060" w:rsidP="00A66060">
      <w:pPr>
        <w:jc w:val="both"/>
        <w:rPr>
          <w:rFonts w:ascii="Palatino Linotype" w:hAnsi="Palatino Linotype"/>
        </w:rPr>
      </w:pPr>
    </w:p>
    <w:tbl>
      <w:tblPr>
        <w:tblStyle w:val="Listaclara-nfasis5"/>
        <w:tblW w:w="8339" w:type="dxa"/>
        <w:tblInd w:w="691" w:type="dxa"/>
        <w:tblLook w:val="04A0" w:firstRow="1" w:lastRow="0" w:firstColumn="1" w:lastColumn="0" w:noHBand="0" w:noVBand="1"/>
      </w:tblPr>
      <w:tblGrid>
        <w:gridCol w:w="817"/>
        <w:gridCol w:w="4474"/>
        <w:gridCol w:w="3048"/>
      </w:tblGrid>
      <w:tr w:rsidR="00844574" w:rsidRPr="00BC2631" w14:paraId="49210563" w14:textId="64173B1C" w:rsidTr="00BC2631">
        <w:trPr>
          <w:cnfStyle w:val="100000000000" w:firstRow="1" w:lastRow="0" w:firstColumn="0" w:lastColumn="0" w:oddVBand="0" w:evenVBand="0" w:oddHBand="0"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817" w:type="dxa"/>
          </w:tcPr>
          <w:p w14:paraId="2F9C4A79" w14:textId="4305DF95" w:rsidR="00844574" w:rsidRPr="00BC2631" w:rsidRDefault="00844574" w:rsidP="000E4705">
            <w:pPr>
              <w:jc w:val="center"/>
              <w:rPr>
                <w:rFonts w:ascii="Palatino Linotype" w:eastAsia="Times New Roman" w:hAnsi="Palatino Linotype" w:cs="Arial"/>
                <w:bCs w:val="0"/>
                <w:sz w:val="20"/>
                <w:szCs w:val="20"/>
                <w:lang w:eastAsia="es-CL"/>
              </w:rPr>
            </w:pPr>
            <w:r w:rsidRPr="00BC2631">
              <w:rPr>
                <w:rFonts w:ascii="Palatino Linotype" w:eastAsia="Times New Roman" w:hAnsi="Palatino Linotype" w:cs="Arial"/>
                <w:bCs w:val="0"/>
                <w:sz w:val="20"/>
                <w:szCs w:val="20"/>
                <w:lang w:eastAsia="es-CL"/>
              </w:rPr>
              <w:t>N°</w:t>
            </w:r>
          </w:p>
        </w:tc>
        <w:tc>
          <w:tcPr>
            <w:tcW w:w="4474" w:type="dxa"/>
          </w:tcPr>
          <w:p w14:paraId="67375613" w14:textId="2D7D0101" w:rsidR="00844574" w:rsidRPr="00BC2631" w:rsidRDefault="00844574" w:rsidP="000E4705">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bCs w:val="0"/>
                <w:sz w:val="20"/>
                <w:szCs w:val="20"/>
                <w:lang w:eastAsia="es-CL"/>
              </w:rPr>
            </w:pPr>
            <w:r w:rsidRPr="00BC2631">
              <w:rPr>
                <w:rFonts w:ascii="Palatino Linotype" w:eastAsia="Times New Roman" w:hAnsi="Palatino Linotype" w:cs="Arial"/>
                <w:bCs w:val="0"/>
                <w:sz w:val="20"/>
                <w:szCs w:val="20"/>
                <w:lang w:eastAsia="es-CL"/>
              </w:rPr>
              <w:t>INDICADOR</w:t>
            </w:r>
          </w:p>
        </w:tc>
        <w:tc>
          <w:tcPr>
            <w:tcW w:w="3048" w:type="dxa"/>
          </w:tcPr>
          <w:p w14:paraId="6A4389EB" w14:textId="27C6C84A" w:rsidR="00844574" w:rsidRPr="00BC2631" w:rsidRDefault="00844574" w:rsidP="000E4705">
            <w:pPr>
              <w:jc w:val="center"/>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sz w:val="20"/>
                <w:szCs w:val="20"/>
                <w:lang w:eastAsia="es-CL"/>
              </w:rPr>
            </w:pPr>
            <w:r w:rsidRPr="00BC2631">
              <w:rPr>
                <w:rFonts w:ascii="Palatino Linotype" w:eastAsia="Times New Roman" w:hAnsi="Palatino Linotype" w:cs="Arial"/>
                <w:sz w:val="20"/>
                <w:szCs w:val="20"/>
                <w:lang w:eastAsia="es-CL"/>
              </w:rPr>
              <w:t>OBSERVACIÓN</w:t>
            </w:r>
          </w:p>
        </w:tc>
      </w:tr>
      <w:tr w:rsidR="00844574" w:rsidRPr="00BC2631" w14:paraId="3FB1C7FE" w14:textId="3C0EFA07" w:rsidTr="00BC2631">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817" w:type="dxa"/>
          </w:tcPr>
          <w:p w14:paraId="0571B60A" w14:textId="535F3889" w:rsidR="00844574" w:rsidRPr="00BC2631" w:rsidRDefault="00844574" w:rsidP="000E4705">
            <w:pPr>
              <w:jc w:val="center"/>
              <w:rPr>
                <w:rFonts w:ascii="Palatino Linotype" w:eastAsia="Times New Roman" w:hAnsi="Palatino Linotype" w:cs="Arial"/>
                <w:b w:val="0"/>
                <w:bCs w:val="0"/>
                <w:color w:val="000000" w:themeColor="text1"/>
                <w:sz w:val="20"/>
                <w:szCs w:val="20"/>
                <w:lang w:eastAsia="es-CL"/>
              </w:rPr>
            </w:pPr>
            <w:r w:rsidRPr="00BC2631">
              <w:rPr>
                <w:rFonts w:ascii="Palatino Linotype" w:eastAsia="Times New Roman" w:hAnsi="Palatino Linotype" w:cs="Arial"/>
                <w:b w:val="0"/>
                <w:bCs w:val="0"/>
                <w:color w:val="000000" w:themeColor="text1"/>
                <w:sz w:val="20"/>
                <w:szCs w:val="20"/>
                <w:lang w:eastAsia="es-CL"/>
              </w:rPr>
              <w:t>1</w:t>
            </w:r>
          </w:p>
        </w:tc>
        <w:tc>
          <w:tcPr>
            <w:tcW w:w="4474" w:type="dxa"/>
            <w:hideMark/>
          </w:tcPr>
          <w:p w14:paraId="2ED654D1" w14:textId="77777777" w:rsidR="00844574" w:rsidRPr="00BC2631" w:rsidRDefault="00844574" w:rsidP="000E470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000000" w:themeColor="text1"/>
                <w:sz w:val="20"/>
                <w:szCs w:val="20"/>
                <w:lang w:eastAsia="es-CL"/>
              </w:rPr>
            </w:pPr>
            <w:r w:rsidRPr="00BC2631">
              <w:rPr>
                <w:rFonts w:ascii="Palatino Linotype" w:eastAsia="Times New Roman" w:hAnsi="Palatino Linotype" w:cs="Arial"/>
                <w:b/>
                <w:bCs/>
                <w:color w:val="000000" w:themeColor="text1"/>
                <w:sz w:val="20"/>
                <w:szCs w:val="20"/>
                <w:lang w:eastAsia="es-CL"/>
              </w:rPr>
              <w:t>N° total de clientes asesorados en periodo de medición.</w:t>
            </w:r>
          </w:p>
          <w:p w14:paraId="12D895A3" w14:textId="19E1C5E6" w:rsidR="00844574" w:rsidRPr="00BC2631" w:rsidRDefault="00844574" w:rsidP="000E470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000000" w:themeColor="text1"/>
                <w:sz w:val="20"/>
                <w:szCs w:val="20"/>
                <w:lang w:eastAsia="es-CL"/>
              </w:rPr>
            </w:pPr>
          </w:p>
        </w:tc>
        <w:tc>
          <w:tcPr>
            <w:tcW w:w="3048" w:type="dxa"/>
          </w:tcPr>
          <w:p w14:paraId="259AA979" w14:textId="05B8948E" w:rsidR="00844574" w:rsidRPr="00BC2631" w:rsidRDefault="00C6715D" w:rsidP="000E470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sz w:val="20"/>
                <w:szCs w:val="20"/>
                <w:lang w:eastAsia="es-CL"/>
              </w:rPr>
            </w:pPr>
            <w:r>
              <w:rPr>
                <w:rFonts w:ascii="Palatino Linotype" w:eastAsia="Times New Roman" w:hAnsi="Palatino Linotype" w:cs="Arial"/>
                <w:color w:val="000000" w:themeColor="text1"/>
                <w:sz w:val="20"/>
                <w:szCs w:val="20"/>
                <w:lang w:eastAsia="es-CL"/>
              </w:rPr>
              <w:t>176</w:t>
            </w:r>
          </w:p>
        </w:tc>
      </w:tr>
      <w:tr w:rsidR="00844574" w:rsidRPr="00BC2631" w14:paraId="1D7818EE" w14:textId="39645303" w:rsidTr="00BC2631">
        <w:trPr>
          <w:trHeight w:val="581"/>
        </w:trPr>
        <w:tc>
          <w:tcPr>
            <w:cnfStyle w:val="001000000000" w:firstRow="0" w:lastRow="0" w:firstColumn="1" w:lastColumn="0" w:oddVBand="0" w:evenVBand="0" w:oddHBand="0" w:evenHBand="0" w:firstRowFirstColumn="0" w:firstRowLastColumn="0" w:lastRowFirstColumn="0" w:lastRowLastColumn="0"/>
            <w:tcW w:w="817" w:type="dxa"/>
          </w:tcPr>
          <w:p w14:paraId="0FE9FFE8" w14:textId="0708BEB5" w:rsidR="00844574" w:rsidRPr="00BC2631" w:rsidRDefault="00844574" w:rsidP="000E4705">
            <w:pPr>
              <w:jc w:val="center"/>
              <w:rPr>
                <w:rFonts w:ascii="Palatino Linotype" w:eastAsia="Times New Roman" w:hAnsi="Palatino Linotype" w:cs="Arial"/>
                <w:b w:val="0"/>
                <w:bCs w:val="0"/>
                <w:color w:val="000000" w:themeColor="text1"/>
                <w:sz w:val="20"/>
                <w:szCs w:val="20"/>
                <w:lang w:eastAsia="es-CL"/>
              </w:rPr>
            </w:pPr>
            <w:r w:rsidRPr="00BC2631">
              <w:rPr>
                <w:rFonts w:ascii="Palatino Linotype" w:eastAsia="Times New Roman" w:hAnsi="Palatino Linotype" w:cs="Arial"/>
                <w:b w:val="0"/>
                <w:bCs w:val="0"/>
                <w:color w:val="000000" w:themeColor="text1"/>
                <w:sz w:val="20"/>
                <w:szCs w:val="20"/>
                <w:lang w:eastAsia="es-CL"/>
              </w:rPr>
              <w:t>2</w:t>
            </w:r>
          </w:p>
        </w:tc>
        <w:tc>
          <w:tcPr>
            <w:tcW w:w="4474" w:type="dxa"/>
          </w:tcPr>
          <w:p w14:paraId="22523976" w14:textId="76615AEC" w:rsidR="00844574" w:rsidRPr="00BC2631" w:rsidRDefault="00844574" w:rsidP="000E4705">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themeColor="text1"/>
                <w:sz w:val="20"/>
                <w:szCs w:val="20"/>
                <w:lang w:eastAsia="es-CL"/>
              </w:rPr>
            </w:pPr>
            <w:r w:rsidRPr="00BC2631">
              <w:rPr>
                <w:rFonts w:ascii="Palatino Linotype" w:eastAsia="Times New Roman" w:hAnsi="Palatino Linotype" w:cs="Arial"/>
                <w:b/>
                <w:bCs/>
                <w:color w:val="000000" w:themeColor="text1"/>
                <w:sz w:val="20"/>
                <w:szCs w:val="20"/>
                <w:lang w:eastAsia="es-CL"/>
              </w:rPr>
              <w:t>N° de empresas con aumento de ventas en el periodo de medición</w:t>
            </w:r>
          </w:p>
        </w:tc>
        <w:tc>
          <w:tcPr>
            <w:tcW w:w="3048" w:type="dxa"/>
          </w:tcPr>
          <w:p w14:paraId="58D15B93" w14:textId="20530ED6" w:rsidR="00844574" w:rsidRPr="00BC2631" w:rsidRDefault="00A66060" w:rsidP="006C6A93">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themeColor="text1"/>
                <w:sz w:val="20"/>
                <w:szCs w:val="20"/>
                <w:lang w:eastAsia="es-CL"/>
              </w:rPr>
            </w:pPr>
            <w:r>
              <w:rPr>
                <w:rFonts w:ascii="Palatino Linotype" w:eastAsia="Times New Roman" w:hAnsi="Palatino Linotype" w:cs="Arial"/>
                <w:color w:val="000000" w:themeColor="text1"/>
                <w:sz w:val="20"/>
                <w:szCs w:val="20"/>
                <w:lang w:eastAsia="es-CL"/>
              </w:rPr>
              <w:t>44</w:t>
            </w:r>
          </w:p>
        </w:tc>
      </w:tr>
      <w:tr w:rsidR="00844574" w:rsidRPr="00BC2631" w14:paraId="3E1FA953" w14:textId="72B30D29" w:rsidTr="00BC2631">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817" w:type="dxa"/>
          </w:tcPr>
          <w:p w14:paraId="07959B95" w14:textId="7588DE8C" w:rsidR="00844574" w:rsidRPr="00BC2631" w:rsidRDefault="00844574" w:rsidP="000E4705">
            <w:pPr>
              <w:jc w:val="center"/>
              <w:rPr>
                <w:rFonts w:ascii="Palatino Linotype" w:eastAsia="Times New Roman" w:hAnsi="Palatino Linotype" w:cs="Arial"/>
                <w:b w:val="0"/>
                <w:bCs w:val="0"/>
                <w:color w:val="000000" w:themeColor="text1"/>
                <w:sz w:val="20"/>
                <w:szCs w:val="20"/>
                <w:lang w:eastAsia="es-CL"/>
              </w:rPr>
            </w:pPr>
            <w:r w:rsidRPr="00BC2631">
              <w:rPr>
                <w:rFonts w:ascii="Palatino Linotype" w:eastAsia="Times New Roman" w:hAnsi="Palatino Linotype" w:cs="Arial"/>
                <w:b w:val="0"/>
                <w:bCs w:val="0"/>
                <w:color w:val="000000" w:themeColor="text1"/>
                <w:sz w:val="20"/>
                <w:szCs w:val="20"/>
                <w:lang w:eastAsia="es-CL"/>
              </w:rPr>
              <w:t>3</w:t>
            </w:r>
          </w:p>
        </w:tc>
        <w:tc>
          <w:tcPr>
            <w:tcW w:w="4474" w:type="dxa"/>
          </w:tcPr>
          <w:p w14:paraId="236121C7" w14:textId="1F0B179D" w:rsidR="00844574" w:rsidRPr="00BC2631" w:rsidRDefault="00844574" w:rsidP="000E470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b/>
                <w:bCs/>
                <w:color w:val="000000" w:themeColor="text1"/>
                <w:sz w:val="20"/>
                <w:szCs w:val="20"/>
                <w:lang w:eastAsia="es-CL"/>
              </w:rPr>
            </w:pPr>
            <w:r w:rsidRPr="00BC2631">
              <w:rPr>
                <w:rFonts w:ascii="Palatino Linotype" w:eastAsia="Times New Roman" w:hAnsi="Palatino Linotype" w:cs="Arial"/>
                <w:b/>
                <w:bCs/>
                <w:color w:val="000000" w:themeColor="text1"/>
                <w:sz w:val="20"/>
                <w:szCs w:val="20"/>
                <w:lang w:eastAsia="es-CL"/>
              </w:rPr>
              <w:t>N° de nuevos empleos formales generados</w:t>
            </w:r>
          </w:p>
        </w:tc>
        <w:tc>
          <w:tcPr>
            <w:tcW w:w="3048" w:type="dxa"/>
          </w:tcPr>
          <w:p w14:paraId="5A0CDA46" w14:textId="486CD39D" w:rsidR="00844574" w:rsidRPr="00BC2631" w:rsidRDefault="00A66060" w:rsidP="000E4705">
            <w:pPr>
              <w:jc w:val="center"/>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themeColor="text1"/>
                <w:sz w:val="20"/>
                <w:szCs w:val="20"/>
                <w:lang w:eastAsia="es-CL"/>
              </w:rPr>
            </w:pPr>
            <w:r>
              <w:rPr>
                <w:rFonts w:ascii="Palatino Linotype" w:eastAsia="Times New Roman" w:hAnsi="Palatino Linotype" w:cs="Arial"/>
                <w:color w:val="000000" w:themeColor="text1"/>
                <w:sz w:val="20"/>
                <w:szCs w:val="20"/>
                <w:lang w:eastAsia="es-CL"/>
              </w:rPr>
              <w:t>18</w:t>
            </w:r>
          </w:p>
        </w:tc>
      </w:tr>
      <w:tr w:rsidR="00844574" w:rsidRPr="00BC2631" w14:paraId="7ECB2804" w14:textId="3A1E9D5A" w:rsidTr="00BC2631">
        <w:trPr>
          <w:trHeight w:val="581"/>
        </w:trPr>
        <w:tc>
          <w:tcPr>
            <w:cnfStyle w:val="001000000000" w:firstRow="0" w:lastRow="0" w:firstColumn="1" w:lastColumn="0" w:oddVBand="0" w:evenVBand="0" w:oddHBand="0" w:evenHBand="0" w:firstRowFirstColumn="0" w:firstRowLastColumn="0" w:lastRowFirstColumn="0" w:lastRowLastColumn="0"/>
            <w:tcW w:w="817" w:type="dxa"/>
          </w:tcPr>
          <w:p w14:paraId="39AD28E0" w14:textId="1ECE94ED" w:rsidR="00844574" w:rsidRPr="00BC2631" w:rsidRDefault="00844574" w:rsidP="000E4705">
            <w:pPr>
              <w:jc w:val="center"/>
              <w:rPr>
                <w:rFonts w:ascii="Palatino Linotype" w:eastAsia="Times New Roman" w:hAnsi="Palatino Linotype" w:cs="Arial"/>
                <w:b w:val="0"/>
                <w:bCs w:val="0"/>
                <w:color w:val="000000" w:themeColor="text1"/>
                <w:sz w:val="20"/>
                <w:szCs w:val="20"/>
                <w:lang w:eastAsia="es-CL"/>
              </w:rPr>
            </w:pPr>
            <w:r w:rsidRPr="00BC2631">
              <w:rPr>
                <w:rFonts w:ascii="Palatino Linotype" w:eastAsia="Times New Roman" w:hAnsi="Palatino Linotype" w:cs="Arial"/>
                <w:b w:val="0"/>
                <w:bCs w:val="0"/>
                <w:color w:val="000000" w:themeColor="text1"/>
                <w:sz w:val="20"/>
                <w:szCs w:val="20"/>
                <w:lang w:eastAsia="es-CL"/>
              </w:rPr>
              <w:t>4</w:t>
            </w:r>
          </w:p>
        </w:tc>
        <w:tc>
          <w:tcPr>
            <w:tcW w:w="4474" w:type="dxa"/>
          </w:tcPr>
          <w:p w14:paraId="5FAFB3EF" w14:textId="117E69CA" w:rsidR="00844574" w:rsidRPr="00BC2631" w:rsidRDefault="00844574" w:rsidP="000E4705">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b/>
                <w:bCs/>
                <w:color w:val="000000" w:themeColor="text1"/>
                <w:sz w:val="20"/>
                <w:szCs w:val="20"/>
                <w:lang w:eastAsia="es-CL"/>
              </w:rPr>
            </w:pPr>
            <w:r w:rsidRPr="00BC2631">
              <w:rPr>
                <w:rFonts w:ascii="Palatino Linotype" w:eastAsia="Times New Roman" w:hAnsi="Palatino Linotype" w:cs="Arial"/>
                <w:b/>
                <w:bCs/>
                <w:color w:val="000000" w:themeColor="text1"/>
                <w:sz w:val="20"/>
                <w:szCs w:val="20"/>
                <w:lang w:eastAsia="es-CL"/>
              </w:rPr>
              <w:t>Inversiones realizadas</w:t>
            </w:r>
          </w:p>
        </w:tc>
        <w:tc>
          <w:tcPr>
            <w:tcW w:w="3048" w:type="dxa"/>
          </w:tcPr>
          <w:p w14:paraId="43874B14" w14:textId="29682E60" w:rsidR="00844574" w:rsidRPr="00BC2631" w:rsidRDefault="00A66060" w:rsidP="000E4705">
            <w:pPr>
              <w:jc w:val="center"/>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themeColor="text1"/>
                <w:sz w:val="20"/>
                <w:szCs w:val="20"/>
                <w:lang w:eastAsia="es-CL"/>
              </w:rPr>
            </w:pPr>
            <w:r>
              <w:rPr>
                <w:rFonts w:ascii="Palatino Linotype" w:eastAsia="Times New Roman" w:hAnsi="Palatino Linotype" w:cs="Arial"/>
                <w:color w:val="000000" w:themeColor="text1"/>
                <w:sz w:val="20"/>
                <w:szCs w:val="20"/>
                <w:lang w:eastAsia="es-CL"/>
              </w:rPr>
              <w:t>30.000.000</w:t>
            </w:r>
          </w:p>
        </w:tc>
      </w:tr>
    </w:tbl>
    <w:p w14:paraId="43924021" w14:textId="77777777" w:rsidR="005630E7" w:rsidRPr="00BC2631" w:rsidRDefault="005630E7" w:rsidP="005630E7">
      <w:pPr>
        <w:pStyle w:val="Prrafodelista"/>
        <w:jc w:val="both"/>
        <w:rPr>
          <w:rFonts w:ascii="Palatino Linotype" w:hAnsi="Palatino Linotype"/>
          <w:b/>
          <w:u w:val="single"/>
        </w:rPr>
      </w:pPr>
    </w:p>
    <w:p w14:paraId="6155EF94" w14:textId="77777777" w:rsidR="00E74D37" w:rsidRPr="00BC2631" w:rsidRDefault="00E74D37" w:rsidP="005630E7">
      <w:pPr>
        <w:pStyle w:val="Prrafodelista"/>
        <w:jc w:val="both"/>
        <w:rPr>
          <w:rFonts w:ascii="Palatino Linotype" w:hAnsi="Palatino Linotype"/>
          <w:b/>
          <w:u w:val="single"/>
        </w:rPr>
      </w:pPr>
    </w:p>
    <w:p w14:paraId="41F4038F" w14:textId="458195CB" w:rsidR="00F56462" w:rsidRDefault="00F56462" w:rsidP="002E593A">
      <w:pPr>
        <w:pStyle w:val="Prrafodelista"/>
        <w:numPr>
          <w:ilvl w:val="0"/>
          <w:numId w:val="11"/>
        </w:numPr>
        <w:jc w:val="both"/>
        <w:rPr>
          <w:rFonts w:ascii="Palatino Linotype" w:hAnsi="Palatino Linotype"/>
          <w:b/>
          <w:u w:val="single"/>
        </w:rPr>
      </w:pPr>
      <w:r w:rsidRPr="00BC2631">
        <w:rPr>
          <w:rFonts w:ascii="Palatino Linotype" w:hAnsi="Palatino Linotype"/>
          <w:b/>
          <w:u w:val="single"/>
        </w:rPr>
        <w:t>Consideraciones generales:</w:t>
      </w:r>
    </w:p>
    <w:p w14:paraId="6445CEB5" w14:textId="77777777" w:rsidR="00C6715D" w:rsidRDefault="00C6715D" w:rsidP="00C6715D">
      <w:pPr>
        <w:pStyle w:val="Prrafodelista"/>
        <w:jc w:val="both"/>
        <w:rPr>
          <w:rFonts w:ascii="Palatino Linotype" w:hAnsi="Palatino Linotype"/>
          <w:b/>
          <w:u w:val="single"/>
        </w:rPr>
      </w:pPr>
    </w:p>
    <w:p w14:paraId="4F0293DD" w14:textId="1A33B831" w:rsidR="00C6715D" w:rsidRPr="00C6715D" w:rsidRDefault="00C6715D" w:rsidP="00C6715D">
      <w:pPr>
        <w:pStyle w:val="Prrafodelista"/>
        <w:numPr>
          <w:ilvl w:val="1"/>
          <w:numId w:val="11"/>
        </w:numPr>
        <w:jc w:val="both"/>
        <w:rPr>
          <w:rFonts w:ascii="Palatino Linotype" w:hAnsi="Palatino Linotype"/>
        </w:rPr>
      </w:pPr>
      <w:r w:rsidRPr="00C6715D">
        <w:rPr>
          <w:rFonts w:ascii="Palatino Linotype" w:hAnsi="Palatino Linotype"/>
        </w:rPr>
        <w:t xml:space="preserve">Revisión de indicadores del primer año y lineamientos estratégicos para el segundo </w:t>
      </w:r>
    </w:p>
    <w:p w14:paraId="49394C35" w14:textId="73AEFD2C" w:rsidR="00F56462" w:rsidRPr="00BC2631" w:rsidRDefault="00F56462" w:rsidP="00F56462">
      <w:pPr>
        <w:pStyle w:val="Prrafodelista"/>
        <w:jc w:val="both"/>
        <w:rPr>
          <w:rFonts w:ascii="Palatino Linotype" w:hAnsi="Palatino Linotype"/>
          <w:b/>
          <w:u w:val="single"/>
        </w:rPr>
      </w:pPr>
    </w:p>
    <w:p w14:paraId="6FEFC995" w14:textId="46D2F1E9" w:rsidR="005630E7" w:rsidRPr="00BC2631" w:rsidRDefault="005630E7" w:rsidP="005630E7">
      <w:pPr>
        <w:pStyle w:val="Prrafodelista"/>
        <w:numPr>
          <w:ilvl w:val="1"/>
          <w:numId w:val="11"/>
        </w:numPr>
        <w:jc w:val="both"/>
        <w:rPr>
          <w:rFonts w:ascii="Palatino Linotype" w:hAnsi="Palatino Linotype"/>
        </w:rPr>
      </w:pPr>
      <w:r w:rsidRPr="00BC2631">
        <w:rPr>
          <w:rFonts w:ascii="Palatino Linotype" w:hAnsi="Palatino Linotype"/>
        </w:rPr>
        <w:t xml:space="preserve">Mapa estratégico del centro: debe ser actualizado de manera permanente según necesidad, y debe ser conocido por el equipo de trabajo. Definir los ejes estratégicos del centro, identificando el sello distintivo de operación, y que esto se vea reflejado en el plan </w:t>
      </w:r>
      <w:r w:rsidR="00BC2631" w:rsidRPr="00BC2631">
        <w:rPr>
          <w:rFonts w:ascii="Palatino Linotype" w:hAnsi="Palatino Linotype"/>
        </w:rPr>
        <w:t xml:space="preserve">de acción, plan </w:t>
      </w:r>
      <w:r w:rsidRPr="00BC2631">
        <w:rPr>
          <w:rFonts w:ascii="Palatino Linotype" w:hAnsi="Palatino Linotype"/>
        </w:rPr>
        <w:t xml:space="preserve">de capacitación, asesorías especializadas, líneas de acción del centro, entre otros. </w:t>
      </w:r>
    </w:p>
    <w:p w14:paraId="6E5B8D01" w14:textId="77777777" w:rsidR="005630E7" w:rsidRPr="00BC2631" w:rsidRDefault="005630E7" w:rsidP="005630E7">
      <w:pPr>
        <w:pStyle w:val="Prrafodelista"/>
        <w:ind w:left="1440"/>
        <w:jc w:val="both"/>
        <w:rPr>
          <w:rFonts w:ascii="Palatino Linotype" w:hAnsi="Palatino Linotype"/>
        </w:rPr>
      </w:pPr>
    </w:p>
    <w:p w14:paraId="35803EC6" w14:textId="77777777" w:rsidR="00BC2631" w:rsidRPr="00BC2631" w:rsidRDefault="00BC2631" w:rsidP="00BC2631">
      <w:pPr>
        <w:pStyle w:val="Prrafodelista"/>
        <w:numPr>
          <w:ilvl w:val="1"/>
          <w:numId w:val="11"/>
        </w:numPr>
        <w:jc w:val="both"/>
        <w:rPr>
          <w:rFonts w:ascii="Palatino Linotype" w:hAnsi="Palatino Linotype"/>
        </w:rPr>
      </w:pPr>
      <w:r w:rsidRPr="00BC2631">
        <w:rPr>
          <w:rFonts w:ascii="Palatino Linotype" w:hAnsi="Palatino Linotype"/>
        </w:rPr>
        <w:t>Evaluaciones del equipo de trabajo: El centro debe realizar evaluaciones de desempeño trimestrales y realizar gestión sobre los resultados obtenidos.</w:t>
      </w:r>
    </w:p>
    <w:p w14:paraId="05DB7499" w14:textId="77777777" w:rsidR="005630E7" w:rsidRPr="00BC2631" w:rsidRDefault="005630E7" w:rsidP="005630E7">
      <w:pPr>
        <w:pStyle w:val="Prrafodelista"/>
        <w:rPr>
          <w:rFonts w:ascii="Palatino Linotype" w:hAnsi="Palatino Linotype"/>
        </w:rPr>
      </w:pPr>
    </w:p>
    <w:p w14:paraId="11EBF34A" w14:textId="72D7CA6B" w:rsidR="00F56462" w:rsidRPr="00BC2631" w:rsidRDefault="00F56462" w:rsidP="00F56462">
      <w:pPr>
        <w:pStyle w:val="Prrafodelista"/>
        <w:numPr>
          <w:ilvl w:val="1"/>
          <w:numId w:val="11"/>
        </w:numPr>
        <w:jc w:val="both"/>
        <w:rPr>
          <w:rFonts w:ascii="Palatino Linotype" w:hAnsi="Palatino Linotype"/>
        </w:rPr>
      </w:pPr>
      <w:r w:rsidRPr="00BC2631">
        <w:rPr>
          <w:rFonts w:ascii="Palatino Linotype" w:hAnsi="Palatino Linotype"/>
        </w:rPr>
        <w:t>Plan de capacitación: Ligado al mapa estratégico de cada centro, realidad territorial y experiencia de atención.</w:t>
      </w:r>
      <w:r w:rsidR="000B10B4" w:rsidRPr="00BC2631">
        <w:rPr>
          <w:rFonts w:ascii="Palatino Linotype" w:hAnsi="Palatino Linotype"/>
        </w:rPr>
        <w:t xml:space="preserve"> </w:t>
      </w:r>
      <w:r w:rsidR="00BC2631" w:rsidRPr="00BC2631">
        <w:rPr>
          <w:rFonts w:ascii="Palatino Linotype" w:hAnsi="Palatino Linotype"/>
        </w:rPr>
        <w:t xml:space="preserve">Las </w:t>
      </w:r>
      <w:r w:rsidR="000B10B4" w:rsidRPr="00BC2631">
        <w:rPr>
          <w:rFonts w:ascii="Palatino Linotype" w:hAnsi="Palatino Linotype"/>
        </w:rPr>
        <w:t xml:space="preserve"> brechas identificadas del equipo deben ser consider</w:t>
      </w:r>
      <w:r w:rsidR="00BC2631" w:rsidRPr="00BC2631">
        <w:rPr>
          <w:rFonts w:ascii="Palatino Linotype" w:hAnsi="Palatino Linotype"/>
        </w:rPr>
        <w:t>adas en el plan de capacitación interno.</w:t>
      </w:r>
    </w:p>
    <w:p w14:paraId="168731A7" w14:textId="77777777" w:rsidR="005630E7" w:rsidRPr="00BC2631" w:rsidRDefault="005630E7" w:rsidP="005630E7">
      <w:pPr>
        <w:pStyle w:val="Prrafodelista"/>
        <w:rPr>
          <w:rFonts w:ascii="Palatino Linotype" w:hAnsi="Palatino Linotype"/>
        </w:rPr>
      </w:pPr>
    </w:p>
    <w:p w14:paraId="52B946EB" w14:textId="299CCFCC" w:rsidR="005630E7" w:rsidRPr="00BC2631" w:rsidRDefault="005630E7" w:rsidP="00F56462">
      <w:pPr>
        <w:pStyle w:val="Prrafodelista"/>
        <w:numPr>
          <w:ilvl w:val="1"/>
          <w:numId w:val="11"/>
        </w:numPr>
        <w:jc w:val="both"/>
        <w:rPr>
          <w:rFonts w:ascii="Palatino Linotype" w:hAnsi="Palatino Linotype"/>
        </w:rPr>
      </w:pPr>
      <w:r w:rsidRPr="00BC2631">
        <w:rPr>
          <w:rFonts w:ascii="Palatino Linotype" w:hAnsi="Palatino Linotype"/>
        </w:rPr>
        <w:t xml:space="preserve">Directorio del Centro: </w:t>
      </w:r>
      <w:r w:rsidR="00BC2631" w:rsidRPr="00BC2631">
        <w:rPr>
          <w:rFonts w:ascii="Palatino Linotype" w:hAnsi="Palatino Linotype"/>
        </w:rPr>
        <w:t xml:space="preserve">asegurar </w:t>
      </w:r>
      <w:r w:rsidRPr="00BC2631">
        <w:rPr>
          <w:rFonts w:ascii="Palatino Linotype" w:hAnsi="Palatino Linotype"/>
        </w:rPr>
        <w:t>sesiones periódicas, con asistencia efectiva, en conocimiento del Mapa estratégico del Centro y focos estratégicos de acción.</w:t>
      </w:r>
      <w:r w:rsidR="00BC2631" w:rsidRPr="00BC2631">
        <w:rPr>
          <w:rFonts w:ascii="Palatino Linotype" w:hAnsi="Palatino Linotype"/>
        </w:rPr>
        <w:t xml:space="preserve"> En caso de requerir cambio de integrantes, realizar solicitud justificada a contraparte regional para su evaluación.</w:t>
      </w:r>
    </w:p>
    <w:p w14:paraId="65289E04" w14:textId="77777777" w:rsidR="000B10B4" w:rsidRPr="00BC2631" w:rsidRDefault="000B10B4" w:rsidP="000B10B4">
      <w:pPr>
        <w:pStyle w:val="Prrafodelista"/>
        <w:rPr>
          <w:rFonts w:ascii="Palatino Linotype" w:hAnsi="Palatino Linotype"/>
        </w:rPr>
      </w:pPr>
    </w:p>
    <w:p w14:paraId="0D857B5F" w14:textId="438E4E97" w:rsidR="000B10B4" w:rsidRPr="00BC2631" w:rsidRDefault="00DC185D" w:rsidP="00F56462">
      <w:pPr>
        <w:pStyle w:val="Prrafodelista"/>
        <w:numPr>
          <w:ilvl w:val="1"/>
          <w:numId w:val="11"/>
        </w:numPr>
        <w:jc w:val="both"/>
        <w:rPr>
          <w:rFonts w:ascii="Palatino Linotype" w:hAnsi="Palatino Linotype"/>
        </w:rPr>
      </w:pPr>
      <w:r w:rsidRPr="00BC2631">
        <w:rPr>
          <w:rFonts w:ascii="Palatino Linotype" w:hAnsi="Palatino Linotype"/>
        </w:rPr>
        <w:t>Para el próximo año se visualiza la vinculación a los SBDC Global, abriendo posibilidades a los intercambio de experiencias de clientes, centros entre otras.</w:t>
      </w:r>
    </w:p>
    <w:p w14:paraId="46735ADF" w14:textId="77777777" w:rsidR="00DC185D" w:rsidRPr="00BC2631" w:rsidRDefault="00DC185D" w:rsidP="00DC185D">
      <w:pPr>
        <w:pStyle w:val="Prrafodelista"/>
        <w:ind w:left="1440"/>
        <w:jc w:val="both"/>
        <w:rPr>
          <w:rFonts w:ascii="Palatino Linotype" w:hAnsi="Palatino Linotype"/>
        </w:rPr>
      </w:pPr>
    </w:p>
    <w:p w14:paraId="2893756D" w14:textId="0464BD54" w:rsidR="00DC185D" w:rsidRPr="00BC2631" w:rsidRDefault="00DC185D" w:rsidP="00F56462">
      <w:pPr>
        <w:pStyle w:val="Prrafodelista"/>
        <w:numPr>
          <w:ilvl w:val="1"/>
          <w:numId w:val="11"/>
        </w:numPr>
        <w:jc w:val="both"/>
        <w:rPr>
          <w:rFonts w:ascii="Palatino Linotype" w:hAnsi="Palatino Linotype"/>
        </w:rPr>
      </w:pPr>
      <w:r w:rsidRPr="00BC2631">
        <w:rPr>
          <w:rFonts w:ascii="Palatino Linotype" w:hAnsi="Palatino Linotype"/>
        </w:rPr>
        <w:t>Modelo de acreditación: Diseño elaborado e incorporado en el Manual de Operación, en una segunda fase se estima transferir el modelo a los centros. Con el modelo se aspira que el centr</w:t>
      </w:r>
      <w:r w:rsidR="005630E7" w:rsidRPr="00BC2631">
        <w:rPr>
          <w:rFonts w:ascii="Palatino Linotype" w:hAnsi="Palatino Linotype"/>
        </w:rPr>
        <w:t>o ordene sus procesos, gestione</w:t>
      </w:r>
      <w:r w:rsidRPr="00BC2631">
        <w:rPr>
          <w:rFonts w:ascii="Palatino Linotype" w:hAnsi="Palatino Linotype"/>
        </w:rPr>
        <w:t xml:space="preserve"> las acciones, y </w:t>
      </w:r>
      <w:r w:rsidRPr="00BC2631">
        <w:rPr>
          <w:rFonts w:ascii="Palatino Linotype" w:hAnsi="Palatino Linotype"/>
        </w:rPr>
        <w:lastRenderedPageBreak/>
        <w:t>genere las rutas de navegación indicadas, con un equipo de trabajo con cargas equilibradas,  y flujos de trabajo que contribuyan al cumplimiento de los resultados, y objetivo final del programa de centros.</w:t>
      </w:r>
    </w:p>
    <w:p w14:paraId="36B1EE60" w14:textId="77777777" w:rsidR="005630E7" w:rsidRPr="00BC2631" w:rsidRDefault="005630E7" w:rsidP="005630E7">
      <w:pPr>
        <w:pStyle w:val="Prrafodelista"/>
        <w:rPr>
          <w:rFonts w:ascii="Palatino Linotype" w:hAnsi="Palatino Linotype"/>
        </w:rPr>
      </w:pPr>
    </w:p>
    <w:p w14:paraId="5E387373" w14:textId="398F0CF2" w:rsidR="005630E7" w:rsidRDefault="00470859" w:rsidP="00F56462">
      <w:pPr>
        <w:pStyle w:val="Prrafodelista"/>
        <w:numPr>
          <w:ilvl w:val="1"/>
          <w:numId w:val="11"/>
        </w:numPr>
        <w:jc w:val="both"/>
        <w:rPr>
          <w:rFonts w:ascii="Palatino Linotype" w:hAnsi="Palatino Linotype"/>
        </w:rPr>
      </w:pPr>
      <w:r w:rsidRPr="00BC2631">
        <w:rPr>
          <w:rFonts w:ascii="Palatino Linotype" w:hAnsi="Palatino Linotype"/>
        </w:rPr>
        <w:t xml:space="preserve">Con el término del </w:t>
      </w:r>
      <w:r w:rsidR="005630E7" w:rsidRPr="00BC2631">
        <w:rPr>
          <w:rFonts w:ascii="Palatino Linotype" w:hAnsi="Palatino Linotype"/>
        </w:rPr>
        <w:t xml:space="preserve">Primer Acuerdo de Desempeño </w:t>
      </w:r>
      <w:r w:rsidRPr="00BC2631">
        <w:rPr>
          <w:rFonts w:ascii="Palatino Linotype" w:hAnsi="Palatino Linotype"/>
        </w:rPr>
        <w:t>finaliza el proceso de marcha blanca del proyecto.</w:t>
      </w:r>
    </w:p>
    <w:p w14:paraId="7FAFA236" w14:textId="77777777" w:rsidR="00B1555F" w:rsidRPr="00B1555F" w:rsidRDefault="00B1555F" w:rsidP="00B1555F">
      <w:pPr>
        <w:pStyle w:val="Prrafodelista"/>
        <w:rPr>
          <w:rFonts w:ascii="Palatino Linotype" w:hAnsi="Palatino Linotype"/>
        </w:rPr>
      </w:pPr>
    </w:p>
    <w:p w14:paraId="4E146691" w14:textId="1D1586B5" w:rsidR="00B1555F" w:rsidRDefault="00B1555F" w:rsidP="00B1555F">
      <w:pPr>
        <w:pStyle w:val="Prrafodelista"/>
        <w:numPr>
          <w:ilvl w:val="0"/>
          <w:numId w:val="11"/>
        </w:numPr>
        <w:jc w:val="both"/>
        <w:rPr>
          <w:rFonts w:ascii="Palatino Linotype" w:hAnsi="Palatino Linotype"/>
        </w:rPr>
      </w:pPr>
      <w:r>
        <w:rPr>
          <w:rFonts w:ascii="Palatino Linotype" w:hAnsi="Palatino Linotype"/>
        </w:rPr>
        <w:t xml:space="preserve">Victor Monzón, </w:t>
      </w:r>
      <w:r w:rsidR="00AB5C04">
        <w:rPr>
          <w:rFonts w:ascii="Palatino Linotype" w:hAnsi="Palatino Linotype"/>
        </w:rPr>
        <w:t>agradece</w:t>
      </w:r>
      <w:r>
        <w:rPr>
          <w:rFonts w:ascii="Palatino Linotype" w:hAnsi="Palatino Linotype"/>
        </w:rPr>
        <w:t xml:space="preserve"> que nos demos cuenta que el centro Cauquenes está en una zona rezagada. </w:t>
      </w:r>
    </w:p>
    <w:p w14:paraId="71F481D7" w14:textId="7F6B744B" w:rsidR="00BC2631" w:rsidRPr="00B1555F" w:rsidRDefault="00B1555F" w:rsidP="00B1555F">
      <w:pPr>
        <w:ind w:left="720"/>
        <w:jc w:val="both"/>
        <w:rPr>
          <w:rFonts w:ascii="Palatino Linotype" w:hAnsi="Palatino Linotype"/>
        </w:rPr>
      </w:pPr>
      <w:r>
        <w:rPr>
          <w:rFonts w:ascii="Palatino Linotype" w:hAnsi="Palatino Linotype"/>
        </w:rPr>
        <w:t>Funcionamiento del centro pendiente cupos de asesores junior y sénior, solicita apoyo para sacar rápidamente los resultados de la selección de personal antes de</w:t>
      </w:r>
      <w:r w:rsidR="00AB5C04">
        <w:rPr>
          <w:rFonts w:ascii="Palatino Linotype" w:hAnsi="Palatino Linotype"/>
        </w:rPr>
        <w:t xml:space="preserve"> los feriados de fiest</w:t>
      </w:r>
      <w:bookmarkStart w:id="0" w:name="_GoBack"/>
      <w:bookmarkEnd w:id="0"/>
      <w:r w:rsidR="00AB5C04">
        <w:rPr>
          <w:rFonts w:ascii="Palatino Linotype" w:hAnsi="Palatino Linotype"/>
        </w:rPr>
        <w:t>as patrias</w:t>
      </w:r>
    </w:p>
    <w:p w14:paraId="0EC13077" w14:textId="77777777" w:rsidR="00470859" w:rsidRPr="00BC2631" w:rsidRDefault="00470859" w:rsidP="00470859">
      <w:pPr>
        <w:pStyle w:val="Prrafodelista"/>
        <w:jc w:val="both"/>
        <w:rPr>
          <w:rFonts w:ascii="Palatino Linotype" w:hAnsi="Palatino Linotype"/>
          <w:b/>
          <w:u w:val="single"/>
        </w:rPr>
      </w:pPr>
    </w:p>
    <w:p w14:paraId="7D8F4038" w14:textId="35A0E1AE" w:rsidR="00C5688F" w:rsidRPr="00BC2631" w:rsidRDefault="00C5688F" w:rsidP="000B63F1">
      <w:pPr>
        <w:pStyle w:val="Prrafodelista"/>
        <w:numPr>
          <w:ilvl w:val="0"/>
          <w:numId w:val="11"/>
        </w:numPr>
        <w:jc w:val="both"/>
        <w:rPr>
          <w:rFonts w:ascii="Palatino Linotype" w:hAnsi="Palatino Linotype"/>
          <w:b/>
          <w:u w:val="single"/>
        </w:rPr>
      </w:pPr>
      <w:r w:rsidRPr="00BC2631">
        <w:rPr>
          <w:rFonts w:ascii="Palatino Linotype" w:hAnsi="Palatino Linotype"/>
          <w:b/>
          <w:u w:val="single"/>
        </w:rPr>
        <w:t>Acuerdos</w:t>
      </w:r>
      <w:r w:rsidR="00BB0B89" w:rsidRPr="00BC2631">
        <w:rPr>
          <w:rFonts w:ascii="Palatino Linotype" w:hAnsi="Palatino Linotype"/>
          <w:b/>
          <w:u w:val="single"/>
        </w:rPr>
        <w:t xml:space="preserve"> finales</w:t>
      </w:r>
      <w:r w:rsidRPr="00BC2631">
        <w:rPr>
          <w:rFonts w:ascii="Palatino Linotype" w:hAnsi="Palatino Linotype"/>
          <w:b/>
          <w:u w:val="single"/>
        </w:rPr>
        <w:t>:</w:t>
      </w:r>
    </w:p>
    <w:p w14:paraId="3FF06692" w14:textId="77777777" w:rsidR="00470859" w:rsidRPr="00BC2631" w:rsidRDefault="00470859" w:rsidP="00470859">
      <w:pPr>
        <w:pStyle w:val="Prrafodelista"/>
        <w:jc w:val="both"/>
        <w:rPr>
          <w:rFonts w:ascii="Palatino Linotype" w:hAnsi="Palatino Linotype"/>
          <w:b/>
          <w:u w:val="single"/>
        </w:rPr>
      </w:pPr>
    </w:p>
    <w:p w14:paraId="183142DC" w14:textId="6EB102E1" w:rsidR="00851385" w:rsidRPr="00BC2631" w:rsidRDefault="00B1555F" w:rsidP="00BC2631">
      <w:pPr>
        <w:pStyle w:val="Prrafodelista"/>
        <w:numPr>
          <w:ilvl w:val="1"/>
          <w:numId w:val="11"/>
        </w:numPr>
        <w:jc w:val="both"/>
        <w:rPr>
          <w:rFonts w:ascii="Palatino Linotype" w:hAnsi="Palatino Linotype"/>
        </w:rPr>
      </w:pPr>
      <w:r>
        <w:rPr>
          <w:rFonts w:ascii="Palatino Linotype" w:hAnsi="Palatino Linotype"/>
        </w:rPr>
        <w:t xml:space="preserve">Miércoles 14 </w:t>
      </w:r>
      <w:r w:rsidR="0066026F">
        <w:rPr>
          <w:rFonts w:ascii="Palatino Linotype" w:hAnsi="Palatino Linotype"/>
        </w:rPr>
        <w:t>Septiembre</w:t>
      </w:r>
      <w:r w:rsidR="005C2367" w:rsidRPr="00BC2631">
        <w:rPr>
          <w:rFonts w:ascii="Palatino Linotype" w:hAnsi="Palatino Linotype"/>
        </w:rPr>
        <w:t xml:space="preserve"> </w:t>
      </w:r>
      <w:r w:rsidR="00BC2631" w:rsidRPr="00BC2631">
        <w:rPr>
          <w:rFonts w:ascii="Palatino Linotype" w:hAnsi="Palatino Linotype"/>
        </w:rPr>
        <w:t xml:space="preserve">se espera recibir </w:t>
      </w:r>
      <w:r w:rsidR="005C2367" w:rsidRPr="00BC2631">
        <w:rPr>
          <w:rFonts w:ascii="Palatino Linotype" w:hAnsi="Palatino Linotype"/>
        </w:rPr>
        <w:t xml:space="preserve">nueva propuesta, para </w:t>
      </w:r>
      <w:r w:rsidR="00BC2631" w:rsidRPr="00BC2631">
        <w:rPr>
          <w:rFonts w:ascii="Palatino Linotype" w:hAnsi="Palatino Linotype"/>
        </w:rPr>
        <w:t xml:space="preserve">llegar a acuerdo, y </w:t>
      </w:r>
      <w:r w:rsidR="005C2367" w:rsidRPr="00BC2631">
        <w:rPr>
          <w:rFonts w:ascii="Palatino Linotype" w:hAnsi="Palatino Linotype"/>
        </w:rPr>
        <w:t>dar inicio al nuevo proceso de formalización.</w:t>
      </w:r>
    </w:p>
    <w:p w14:paraId="5124CC2E" w14:textId="77777777" w:rsidR="00BC2631" w:rsidRPr="00BC2631" w:rsidRDefault="00BC2631" w:rsidP="00BC2631">
      <w:pPr>
        <w:pStyle w:val="Prrafodelista"/>
        <w:ind w:left="1440"/>
        <w:jc w:val="both"/>
        <w:rPr>
          <w:rFonts w:ascii="Palatino Linotype" w:hAnsi="Palatino Linotype"/>
        </w:rPr>
      </w:pPr>
    </w:p>
    <w:p w14:paraId="725B21AD" w14:textId="77777777" w:rsidR="005C2367" w:rsidRPr="005630E7" w:rsidRDefault="005C2367" w:rsidP="005630E7">
      <w:pPr>
        <w:jc w:val="both"/>
        <w:rPr>
          <w:rFonts w:ascii="Palatino Linotype" w:hAnsi="Palatino Linotype"/>
          <w:b/>
          <w:u w:val="single"/>
        </w:rPr>
      </w:pPr>
    </w:p>
    <w:sectPr w:rsidR="005C2367" w:rsidRPr="005630E7" w:rsidSect="00FD0599">
      <w:headerReference w:type="default" r:id="rId9"/>
      <w:footerReference w:type="default" r:id="rId10"/>
      <w:headerReference w:type="first" r:id="rId11"/>
      <w:pgSz w:w="12240" w:h="15840" w:code="1"/>
      <w:pgMar w:top="1231" w:right="1701" w:bottom="1418" w:left="1276"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FA4D7" w14:textId="77777777" w:rsidR="003764BA" w:rsidRDefault="003764BA" w:rsidP="00753BB4">
      <w:pPr>
        <w:spacing w:after="0" w:line="240" w:lineRule="auto"/>
      </w:pPr>
      <w:r>
        <w:separator/>
      </w:r>
    </w:p>
  </w:endnote>
  <w:endnote w:type="continuationSeparator" w:id="0">
    <w:p w14:paraId="43EC1B56" w14:textId="77777777" w:rsidR="003764BA" w:rsidRDefault="003764BA" w:rsidP="00753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288495"/>
      <w:docPartObj>
        <w:docPartGallery w:val="Page Numbers (Bottom of Page)"/>
        <w:docPartUnique/>
      </w:docPartObj>
    </w:sdtPr>
    <w:sdtEndPr/>
    <w:sdtContent>
      <w:p w14:paraId="6A6E3735" w14:textId="77777777" w:rsidR="002E593A" w:rsidRDefault="002E593A">
        <w:pPr>
          <w:pStyle w:val="Piedepgina"/>
          <w:jc w:val="right"/>
        </w:pPr>
        <w:r w:rsidRPr="00C157E1">
          <w:rPr>
            <w:sz w:val="18"/>
            <w:szCs w:val="18"/>
          </w:rPr>
          <w:fldChar w:fldCharType="begin"/>
        </w:r>
        <w:r w:rsidRPr="00C157E1">
          <w:rPr>
            <w:sz w:val="18"/>
            <w:szCs w:val="18"/>
          </w:rPr>
          <w:instrText>PAGE   \* MERGEFORMAT</w:instrText>
        </w:r>
        <w:r w:rsidRPr="00C157E1">
          <w:rPr>
            <w:sz w:val="18"/>
            <w:szCs w:val="18"/>
          </w:rPr>
          <w:fldChar w:fldCharType="separate"/>
        </w:r>
        <w:r w:rsidR="00AB5C04" w:rsidRPr="00AB5C04">
          <w:rPr>
            <w:noProof/>
            <w:sz w:val="18"/>
            <w:szCs w:val="18"/>
            <w:lang w:val="es-ES"/>
          </w:rPr>
          <w:t>2</w:t>
        </w:r>
        <w:r w:rsidRPr="00C157E1">
          <w:rPr>
            <w:sz w:val="18"/>
            <w:szCs w:val="18"/>
          </w:rPr>
          <w:fldChar w:fldCharType="end"/>
        </w:r>
      </w:p>
    </w:sdtContent>
  </w:sdt>
  <w:p w14:paraId="2148D5AE" w14:textId="77777777" w:rsidR="002E593A" w:rsidRDefault="002E59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28062" w14:textId="77777777" w:rsidR="003764BA" w:rsidRDefault="003764BA" w:rsidP="00753BB4">
      <w:pPr>
        <w:spacing w:after="0" w:line="240" w:lineRule="auto"/>
      </w:pPr>
      <w:r>
        <w:separator/>
      </w:r>
    </w:p>
  </w:footnote>
  <w:footnote w:type="continuationSeparator" w:id="0">
    <w:p w14:paraId="7363DFA5" w14:textId="77777777" w:rsidR="003764BA" w:rsidRDefault="003764BA" w:rsidP="00753B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C0580" w14:textId="77777777" w:rsidR="002E593A" w:rsidRDefault="002E593A" w:rsidP="00753BB4">
    <w:pPr>
      <w:pStyle w:val="Encabezado"/>
      <w:tabs>
        <w:tab w:val="clear" w:pos="8838"/>
        <w:tab w:val="right" w:pos="9356"/>
      </w:tabs>
      <w:ind w:right="-518"/>
      <w:jc w:val="right"/>
    </w:pPr>
    <w:r>
      <w:rPr>
        <w:noProof/>
        <w:lang w:eastAsia="es-CL"/>
      </w:rPr>
      <w:drawing>
        <wp:inline distT="0" distB="0" distL="0" distR="0" wp14:anchorId="6B25043F" wp14:editId="0620C40D">
          <wp:extent cx="1009290" cy="765411"/>
          <wp:effectExtent l="0" t="0" r="0" b="0"/>
          <wp:docPr id="4" name="Imagen 4" descr="C:\Users\pablo.barahona\Desktop\LOGO C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blo.barahona\Desktop\LOGO CD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203" cy="76534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A06DF" w14:textId="25F84BEB" w:rsidR="002E593A" w:rsidRDefault="002E593A" w:rsidP="00FD0599">
    <w:pPr>
      <w:pStyle w:val="Encabezado"/>
    </w:pPr>
    <w:r w:rsidRPr="00C14A6F">
      <w:rPr>
        <w:noProof/>
        <w:sz w:val="48"/>
        <w:szCs w:val="48"/>
        <w:lang w:eastAsia="es-CL"/>
      </w:rPr>
      <w:drawing>
        <wp:inline distT="0" distB="0" distL="0" distR="0" wp14:anchorId="27D4AB8F" wp14:editId="728F26AE">
          <wp:extent cx="733245" cy="556068"/>
          <wp:effectExtent l="0" t="0" r="0" b="0"/>
          <wp:docPr id="1" name="Imagen 1" descr="C:\Users\pablo.barahona\Desktop\LOGO CD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blo.barahona\Desktop\LOGO CD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09" cy="558088"/>
                  </a:xfrm>
                  <a:prstGeom prst="rect">
                    <a:avLst/>
                  </a:prstGeom>
                  <a:noFill/>
                  <a:ln>
                    <a:noFill/>
                  </a:ln>
                </pic:spPr>
              </pic:pic>
            </a:graphicData>
          </a:graphic>
        </wp:inline>
      </w:drawing>
    </w:r>
  </w:p>
  <w:p w14:paraId="7FF126F5" w14:textId="77777777" w:rsidR="002E593A" w:rsidRDefault="002E59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751"/>
    <w:multiLevelType w:val="hybridMultilevel"/>
    <w:tmpl w:val="4AE0EE4E"/>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nsid w:val="06DE2315"/>
    <w:multiLevelType w:val="hybridMultilevel"/>
    <w:tmpl w:val="3712F8D4"/>
    <w:lvl w:ilvl="0" w:tplc="340A000D">
      <w:start w:val="1"/>
      <w:numFmt w:val="bullet"/>
      <w:lvlText w:val=""/>
      <w:lvlJc w:val="left"/>
      <w:pPr>
        <w:ind w:left="2520" w:hanging="360"/>
      </w:pPr>
      <w:rPr>
        <w:rFonts w:ascii="Wingdings" w:hAnsi="Wingdings" w:hint="default"/>
      </w:rPr>
    </w:lvl>
    <w:lvl w:ilvl="1" w:tplc="340A0003" w:tentative="1">
      <w:start w:val="1"/>
      <w:numFmt w:val="bullet"/>
      <w:lvlText w:val="o"/>
      <w:lvlJc w:val="left"/>
      <w:pPr>
        <w:ind w:left="3240" w:hanging="360"/>
      </w:pPr>
      <w:rPr>
        <w:rFonts w:ascii="Courier New" w:hAnsi="Courier New" w:cs="Courier New" w:hint="default"/>
      </w:rPr>
    </w:lvl>
    <w:lvl w:ilvl="2" w:tplc="340A0005">
      <w:start w:val="1"/>
      <w:numFmt w:val="bullet"/>
      <w:lvlText w:val=""/>
      <w:lvlJc w:val="left"/>
      <w:pPr>
        <w:ind w:left="3960" w:hanging="360"/>
      </w:pPr>
      <w:rPr>
        <w:rFonts w:ascii="Wingdings" w:hAnsi="Wingdings" w:hint="default"/>
      </w:rPr>
    </w:lvl>
    <w:lvl w:ilvl="3" w:tplc="340A0001" w:tentative="1">
      <w:start w:val="1"/>
      <w:numFmt w:val="bullet"/>
      <w:lvlText w:val=""/>
      <w:lvlJc w:val="left"/>
      <w:pPr>
        <w:ind w:left="4680" w:hanging="360"/>
      </w:pPr>
      <w:rPr>
        <w:rFonts w:ascii="Symbol" w:hAnsi="Symbol" w:hint="default"/>
      </w:rPr>
    </w:lvl>
    <w:lvl w:ilvl="4" w:tplc="340A0003" w:tentative="1">
      <w:start w:val="1"/>
      <w:numFmt w:val="bullet"/>
      <w:lvlText w:val="o"/>
      <w:lvlJc w:val="left"/>
      <w:pPr>
        <w:ind w:left="5400" w:hanging="360"/>
      </w:pPr>
      <w:rPr>
        <w:rFonts w:ascii="Courier New" w:hAnsi="Courier New" w:cs="Courier New" w:hint="default"/>
      </w:rPr>
    </w:lvl>
    <w:lvl w:ilvl="5" w:tplc="340A0005" w:tentative="1">
      <w:start w:val="1"/>
      <w:numFmt w:val="bullet"/>
      <w:lvlText w:val=""/>
      <w:lvlJc w:val="left"/>
      <w:pPr>
        <w:ind w:left="6120" w:hanging="360"/>
      </w:pPr>
      <w:rPr>
        <w:rFonts w:ascii="Wingdings" w:hAnsi="Wingdings" w:hint="default"/>
      </w:rPr>
    </w:lvl>
    <w:lvl w:ilvl="6" w:tplc="340A0001" w:tentative="1">
      <w:start w:val="1"/>
      <w:numFmt w:val="bullet"/>
      <w:lvlText w:val=""/>
      <w:lvlJc w:val="left"/>
      <w:pPr>
        <w:ind w:left="6840" w:hanging="360"/>
      </w:pPr>
      <w:rPr>
        <w:rFonts w:ascii="Symbol" w:hAnsi="Symbol" w:hint="default"/>
      </w:rPr>
    </w:lvl>
    <w:lvl w:ilvl="7" w:tplc="340A0003" w:tentative="1">
      <w:start w:val="1"/>
      <w:numFmt w:val="bullet"/>
      <w:lvlText w:val="o"/>
      <w:lvlJc w:val="left"/>
      <w:pPr>
        <w:ind w:left="7560" w:hanging="360"/>
      </w:pPr>
      <w:rPr>
        <w:rFonts w:ascii="Courier New" w:hAnsi="Courier New" w:cs="Courier New" w:hint="default"/>
      </w:rPr>
    </w:lvl>
    <w:lvl w:ilvl="8" w:tplc="340A0005" w:tentative="1">
      <w:start w:val="1"/>
      <w:numFmt w:val="bullet"/>
      <w:lvlText w:val=""/>
      <w:lvlJc w:val="left"/>
      <w:pPr>
        <w:ind w:left="8280" w:hanging="360"/>
      </w:pPr>
      <w:rPr>
        <w:rFonts w:ascii="Wingdings" w:hAnsi="Wingdings" w:hint="default"/>
      </w:rPr>
    </w:lvl>
  </w:abstractNum>
  <w:abstractNum w:abstractNumId="2">
    <w:nsid w:val="1A5F619A"/>
    <w:multiLevelType w:val="hybridMultilevel"/>
    <w:tmpl w:val="2F926CB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02C69B9"/>
    <w:multiLevelType w:val="hybridMultilevel"/>
    <w:tmpl w:val="86782D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3DF2AA9"/>
    <w:multiLevelType w:val="hybridMultilevel"/>
    <w:tmpl w:val="C28ADE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702158B"/>
    <w:multiLevelType w:val="hybridMultilevel"/>
    <w:tmpl w:val="697E60C2"/>
    <w:lvl w:ilvl="0" w:tplc="50485154">
      <w:start w:val="1"/>
      <w:numFmt w:val="bullet"/>
      <w:lvlText w:val=""/>
      <w:lvlJc w:val="left"/>
      <w:pPr>
        <w:ind w:left="720" w:hanging="360"/>
      </w:pPr>
      <w:rPr>
        <w:rFonts w:ascii="Symbol" w:hAnsi="Symbol" w:hint="default"/>
        <w:color w:val="262626" w:themeColor="text1" w:themeTint="D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113AEA"/>
    <w:multiLevelType w:val="hybridMultilevel"/>
    <w:tmpl w:val="DB74A630"/>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nsid w:val="434620F7"/>
    <w:multiLevelType w:val="hybridMultilevel"/>
    <w:tmpl w:val="C3A66A4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8C84390"/>
    <w:multiLevelType w:val="hybridMultilevel"/>
    <w:tmpl w:val="91C00D2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A1648E7"/>
    <w:multiLevelType w:val="hybridMultilevel"/>
    <w:tmpl w:val="9DB49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CF6E11"/>
    <w:multiLevelType w:val="hybridMultilevel"/>
    <w:tmpl w:val="1088911E"/>
    <w:lvl w:ilvl="0" w:tplc="B7B0905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B66123"/>
    <w:multiLevelType w:val="hybridMultilevel"/>
    <w:tmpl w:val="ACF4B8E6"/>
    <w:lvl w:ilvl="0" w:tplc="340A0001">
      <w:start w:val="1"/>
      <w:numFmt w:val="bullet"/>
      <w:lvlText w:val=""/>
      <w:lvlJc w:val="left"/>
      <w:pPr>
        <w:ind w:left="774" w:hanging="360"/>
      </w:pPr>
      <w:rPr>
        <w:rFonts w:ascii="Symbol" w:hAnsi="Symbol" w:hint="default"/>
      </w:rPr>
    </w:lvl>
    <w:lvl w:ilvl="1" w:tplc="340A0003" w:tentative="1">
      <w:start w:val="1"/>
      <w:numFmt w:val="bullet"/>
      <w:lvlText w:val="o"/>
      <w:lvlJc w:val="left"/>
      <w:pPr>
        <w:ind w:left="1494" w:hanging="360"/>
      </w:pPr>
      <w:rPr>
        <w:rFonts w:ascii="Courier New" w:hAnsi="Courier New" w:cs="Courier New" w:hint="default"/>
      </w:rPr>
    </w:lvl>
    <w:lvl w:ilvl="2" w:tplc="340A0005" w:tentative="1">
      <w:start w:val="1"/>
      <w:numFmt w:val="bullet"/>
      <w:lvlText w:val=""/>
      <w:lvlJc w:val="left"/>
      <w:pPr>
        <w:ind w:left="2214" w:hanging="360"/>
      </w:pPr>
      <w:rPr>
        <w:rFonts w:ascii="Wingdings" w:hAnsi="Wingdings" w:hint="default"/>
      </w:rPr>
    </w:lvl>
    <w:lvl w:ilvl="3" w:tplc="340A0001" w:tentative="1">
      <w:start w:val="1"/>
      <w:numFmt w:val="bullet"/>
      <w:lvlText w:val=""/>
      <w:lvlJc w:val="left"/>
      <w:pPr>
        <w:ind w:left="2934" w:hanging="360"/>
      </w:pPr>
      <w:rPr>
        <w:rFonts w:ascii="Symbol" w:hAnsi="Symbol" w:hint="default"/>
      </w:rPr>
    </w:lvl>
    <w:lvl w:ilvl="4" w:tplc="340A0003" w:tentative="1">
      <w:start w:val="1"/>
      <w:numFmt w:val="bullet"/>
      <w:lvlText w:val="o"/>
      <w:lvlJc w:val="left"/>
      <w:pPr>
        <w:ind w:left="3654" w:hanging="360"/>
      </w:pPr>
      <w:rPr>
        <w:rFonts w:ascii="Courier New" w:hAnsi="Courier New" w:cs="Courier New" w:hint="default"/>
      </w:rPr>
    </w:lvl>
    <w:lvl w:ilvl="5" w:tplc="340A0005" w:tentative="1">
      <w:start w:val="1"/>
      <w:numFmt w:val="bullet"/>
      <w:lvlText w:val=""/>
      <w:lvlJc w:val="left"/>
      <w:pPr>
        <w:ind w:left="4374" w:hanging="360"/>
      </w:pPr>
      <w:rPr>
        <w:rFonts w:ascii="Wingdings" w:hAnsi="Wingdings" w:hint="default"/>
      </w:rPr>
    </w:lvl>
    <w:lvl w:ilvl="6" w:tplc="340A0001" w:tentative="1">
      <w:start w:val="1"/>
      <w:numFmt w:val="bullet"/>
      <w:lvlText w:val=""/>
      <w:lvlJc w:val="left"/>
      <w:pPr>
        <w:ind w:left="5094" w:hanging="360"/>
      </w:pPr>
      <w:rPr>
        <w:rFonts w:ascii="Symbol" w:hAnsi="Symbol" w:hint="default"/>
      </w:rPr>
    </w:lvl>
    <w:lvl w:ilvl="7" w:tplc="340A0003" w:tentative="1">
      <w:start w:val="1"/>
      <w:numFmt w:val="bullet"/>
      <w:lvlText w:val="o"/>
      <w:lvlJc w:val="left"/>
      <w:pPr>
        <w:ind w:left="5814" w:hanging="360"/>
      </w:pPr>
      <w:rPr>
        <w:rFonts w:ascii="Courier New" w:hAnsi="Courier New" w:cs="Courier New" w:hint="default"/>
      </w:rPr>
    </w:lvl>
    <w:lvl w:ilvl="8" w:tplc="340A0005" w:tentative="1">
      <w:start w:val="1"/>
      <w:numFmt w:val="bullet"/>
      <w:lvlText w:val=""/>
      <w:lvlJc w:val="left"/>
      <w:pPr>
        <w:ind w:left="6534" w:hanging="360"/>
      </w:pPr>
      <w:rPr>
        <w:rFonts w:ascii="Wingdings" w:hAnsi="Wingdings" w:hint="default"/>
      </w:rPr>
    </w:lvl>
  </w:abstractNum>
  <w:abstractNum w:abstractNumId="12">
    <w:nsid w:val="5F5A50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B74653"/>
    <w:multiLevelType w:val="hybridMultilevel"/>
    <w:tmpl w:val="D7C07114"/>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83038D9"/>
    <w:multiLevelType w:val="hybridMultilevel"/>
    <w:tmpl w:val="12DAA5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9"/>
  </w:num>
  <w:num w:numId="4">
    <w:abstractNumId w:val="10"/>
  </w:num>
  <w:num w:numId="5">
    <w:abstractNumId w:val="11"/>
  </w:num>
  <w:num w:numId="6">
    <w:abstractNumId w:val="14"/>
  </w:num>
  <w:num w:numId="7">
    <w:abstractNumId w:val="3"/>
  </w:num>
  <w:num w:numId="8">
    <w:abstractNumId w:val="13"/>
  </w:num>
  <w:num w:numId="9">
    <w:abstractNumId w:val="2"/>
  </w:num>
  <w:num w:numId="10">
    <w:abstractNumId w:val="4"/>
  </w:num>
  <w:num w:numId="11">
    <w:abstractNumId w:val="7"/>
  </w:num>
  <w:num w:numId="12">
    <w:abstractNumId w:val="8"/>
  </w:num>
  <w:num w:numId="13">
    <w:abstractNumId w:val="6"/>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58"/>
    <w:rsid w:val="00084EA0"/>
    <w:rsid w:val="0009658C"/>
    <w:rsid w:val="000A5608"/>
    <w:rsid w:val="000B10B4"/>
    <w:rsid w:val="000B63F1"/>
    <w:rsid w:val="000C2505"/>
    <w:rsid w:val="000C6146"/>
    <w:rsid w:val="000C7E70"/>
    <w:rsid w:val="000E4705"/>
    <w:rsid w:val="001071FD"/>
    <w:rsid w:val="00130EF5"/>
    <w:rsid w:val="001311F6"/>
    <w:rsid w:val="001429AC"/>
    <w:rsid w:val="00161C70"/>
    <w:rsid w:val="001653AF"/>
    <w:rsid w:val="001C22B6"/>
    <w:rsid w:val="001C3CA1"/>
    <w:rsid w:val="001C614A"/>
    <w:rsid w:val="001D28E0"/>
    <w:rsid w:val="001D5A48"/>
    <w:rsid w:val="001E049F"/>
    <w:rsid w:val="001F1EB6"/>
    <w:rsid w:val="00220255"/>
    <w:rsid w:val="00226EAD"/>
    <w:rsid w:val="00231ADA"/>
    <w:rsid w:val="00241125"/>
    <w:rsid w:val="002712E1"/>
    <w:rsid w:val="002816CD"/>
    <w:rsid w:val="00281BF2"/>
    <w:rsid w:val="002B3798"/>
    <w:rsid w:val="002E593A"/>
    <w:rsid w:val="0032277B"/>
    <w:rsid w:val="00346088"/>
    <w:rsid w:val="003713A5"/>
    <w:rsid w:val="003764BA"/>
    <w:rsid w:val="003A7B0B"/>
    <w:rsid w:val="003F44CE"/>
    <w:rsid w:val="003F635F"/>
    <w:rsid w:val="0041088C"/>
    <w:rsid w:val="004219A5"/>
    <w:rsid w:val="00431B14"/>
    <w:rsid w:val="00443B38"/>
    <w:rsid w:val="00470859"/>
    <w:rsid w:val="0047423B"/>
    <w:rsid w:val="00481113"/>
    <w:rsid w:val="00497E3A"/>
    <w:rsid w:val="004B7E8B"/>
    <w:rsid w:val="004E70DF"/>
    <w:rsid w:val="004F4910"/>
    <w:rsid w:val="004F7462"/>
    <w:rsid w:val="0050603B"/>
    <w:rsid w:val="0051738D"/>
    <w:rsid w:val="005441DC"/>
    <w:rsid w:val="00545EDF"/>
    <w:rsid w:val="005630E7"/>
    <w:rsid w:val="0059737B"/>
    <w:rsid w:val="005A7C7B"/>
    <w:rsid w:val="005B2560"/>
    <w:rsid w:val="005C2367"/>
    <w:rsid w:val="005C3446"/>
    <w:rsid w:val="005F667E"/>
    <w:rsid w:val="005F718F"/>
    <w:rsid w:val="00623F46"/>
    <w:rsid w:val="00627859"/>
    <w:rsid w:val="006600D8"/>
    <w:rsid w:val="0066026F"/>
    <w:rsid w:val="00665295"/>
    <w:rsid w:val="00692438"/>
    <w:rsid w:val="006A1976"/>
    <w:rsid w:val="006A7810"/>
    <w:rsid w:val="006B5E37"/>
    <w:rsid w:val="006C6A93"/>
    <w:rsid w:val="006E3928"/>
    <w:rsid w:val="006E6E8E"/>
    <w:rsid w:val="006F1856"/>
    <w:rsid w:val="006F362E"/>
    <w:rsid w:val="006F6B38"/>
    <w:rsid w:val="00700369"/>
    <w:rsid w:val="00714AA3"/>
    <w:rsid w:val="00753BB4"/>
    <w:rsid w:val="00784E00"/>
    <w:rsid w:val="00797DF4"/>
    <w:rsid w:val="007B4651"/>
    <w:rsid w:val="007C0B4D"/>
    <w:rsid w:val="007C797F"/>
    <w:rsid w:val="007E0CC1"/>
    <w:rsid w:val="007E1CF9"/>
    <w:rsid w:val="007E7CDD"/>
    <w:rsid w:val="008031FF"/>
    <w:rsid w:val="00810BA4"/>
    <w:rsid w:val="008170F2"/>
    <w:rsid w:val="0082775E"/>
    <w:rsid w:val="00844574"/>
    <w:rsid w:val="00851385"/>
    <w:rsid w:val="00860437"/>
    <w:rsid w:val="00886690"/>
    <w:rsid w:val="008B5658"/>
    <w:rsid w:val="008C52D5"/>
    <w:rsid w:val="008C7876"/>
    <w:rsid w:val="008F361E"/>
    <w:rsid w:val="008F6899"/>
    <w:rsid w:val="009015A9"/>
    <w:rsid w:val="009123E0"/>
    <w:rsid w:val="0092589E"/>
    <w:rsid w:val="0094086D"/>
    <w:rsid w:val="00957F89"/>
    <w:rsid w:val="00967D78"/>
    <w:rsid w:val="00974700"/>
    <w:rsid w:val="009842FC"/>
    <w:rsid w:val="009A3D8D"/>
    <w:rsid w:val="009A53E0"/>
    <w:rsid w:val="009D1273"/>
    <w:rsid w:val="009E6BF2"/>
    <w:rsid w:val="009E78C4"/>
    <w:rsid w:val="00A16572"/>
    <w:rsid w:val="00A30A54"/>
    <w:rsid w:val="00A60215"/>
    <w:rsid w:val="00A61073"/>
    <w:rsid w:val="00A65CCD"/>
    <w:rsid w:val="00A66060"/>
    <w:rsid w:val="00AA0C12"/>
    <w:rsid w:val="00AB58E4"/>
    <w:rsid w:val="00AB5C04"/>
    <w:rsid w:val="00AE6EA3"/>
    <w:rsid w:val="00B07AFE"/>
    <w:rsid w:val="00B1555F"/>
    <w:rsid w:val="00B364D0"/>
    <w:rsid w:val="00B43112"/>
    <w:rsid w:val="00B46A17"/>
    <w:rsid w:val="00B47B45"/>
    <w:rsid w:val="00B5490C"/>
    <w:rsid w:val="00B57DCB"/>
    <w:rsid w:val="00B77EB0"/>
    <w:rsid w:val="00BA3529"/>
    <w:rsid w:val="00BB0B89"/>
    <w:rsid w:val="00BB422C"/>
    <w:rsid w:val="00BC2631"/>
    <w:rsid w:val="00BC562D"/>
    <w:rsid w:val="00BE2E95"/>
    <w:rsid w:val="00BF59CC"/>
    <w:rsid w:val="00BF744F"/>
    <w:rsid w:val="00C14A6F"/>
    <w:rsid w:val="00C157E1"/>
    <w:rsid w:val="00C417E8"/>
    <w:rsid w:val="00C50209"/>
    <w:rsid w:val="00C50CCB"/>
    <w:rsid w:val="00C533C8"/>
    <w:rsid w:val="00C5688F"/>
    <w:rsid w:val="00C6715D"/>
    <w:rsid w:val="00C710B3"/>
    <w:rsid w:val="00C75296"/>
    <w:rsid w:val="00CA2E57"/>
    <w:rsid w:val="00CC4FCC"/>
    <w:rsid w:val="00CE53B4"/>
    <w:rsid w:val="00D1481B"/>
    <w:rsid w:val="00D17ED1"/>
    <w:rsid w:val="00D413BD"/>
    <w:rsid w:val="00D51406"/>
    <w:rsid w:val="00D61C61"/>
    <w:rsid w:val="00D65BD4"/>
    <w:rsid w:val="00D8229F"/>
    <w:rsid w:val="00DA2CE6"/>
    <w:rsid w:val="00DB5989"/>
    <w:rsid w:val="00DB6C55"/>
    <w:rsid w:val="00DC185D"/>
    <w:rsid w:val="00DE02A0"/>
    <w:rsid w:val="00DF249F"/>
    <w:rsid w:val="00DF4BE6"/>
    <w:rsid w:val="00E035D7"/>
    <w:rsid w:val="00E64463"/>
    <w:rsid w:val="00E74D37"/>
    <w:rsid w:val="00E80F74"/>
    <w:rsid w:val="00EA537D"/>
    <w:rsid w:val="00EB4334"/>
    <w:rsid w:val="00EC0448"/>
    <w:rsid w:val="00EC15DF"/>
    <w:rsid w:val="00ED068C"/>
    <w:rsid w:val="00EF2D17"/>
    <w:rsid w:val="00F01F91"/>
    <w:rsid w:val="00F03EAF"/>
    <w:rsid w:val="00F50EA2"/>
    <w:rsid w:val="00F522BE"/>
    <w:rsid w:val="00F56462"/>
    <w:rsid w:val="00F91C0A"/>
    <w:rsid w:val="00FB6CED"/>
    <w:rsid w:val="00FD0599"/>
    <w:rsid w:val="00FE77B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88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BDCManualBody">
    <w:name w:val="SBDC Manual Body"/>
    <w:basedOn w:val="Normal"/>
    <w:qFormat/>
    <w:rsid w:val="008B5658"/>
    <w:pPr>
      <w:tabs>
        <w:tab w:val="left" w:pos="993"/>
        <w:tab w:val="left" w:pos="2520"/>
      </w:tabs>
      <w:autoSpaceDE w:val="0"/>
      <w:autoSpaceDN w:val="0"/>
      <w:adjustRightInd w:val="0"/>
      <w:spacing w:after="220" w:line="281" w:lineRule="auto"/>
      <w:jc w:val="both"/>
    </w:pPr>
    <w:rPr>
      <w:rFonts w:ascii="Times New Roman" w:eastAsia="Times New Roman" w:hAnsi="Times New Roman" w:cs="Arial"/>
      <w:sz w:val="24"/>
      <w:lang w:val="es-ES_tradnl"/>
    </w:rPr>
  </w:style>
  <w:style w:type="table" w:styleId="Tablaconcuadrcula">
    <w:name w:val="Table Grid"/>
    <w:basedOn w:val="Tablanormal"/>
    <w:uiPriority w:val="59"/>
    <w:rsid w:val="008B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8B56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1E0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49F"/>
    <w:rPr>
      <w:rFonts w:ascii="Tahoma" w:hAnsi="Tahoma" w:cs="Tahoma"/>
      <w:sz w:val="16"/>
      <w:szCs w:val="16"/>
    </w:rPr>
  </w:style>
  <w:style w:type="paragraph" w:styleId="Encabezado">
    <w:name w:val="header"/>
    <w:basedOn w:val="Normal"/>
    <w:link w:val="EncabezadoCar"/>
    <w:uiPriority w:val="99"/>
    <w:unhideWhenUsed/>
    <w:rsid w:val="00753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BB4"/>
  </w:style>
  <w:style w:type="paragraph" w:styleId="Piedepgina">
    <w:name w:val="footer"/>
    <w:basedOn w:val="Normal"/>
    <w:link w:val="PiedepginaCar"/>
    <w:uiPriority w:val="99"/>
    <w:unhideWhenUsed/>
    <w:rsid w:val="00753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BB4"/>
  </w:style>
  <w:style w:type="paragraph" w:styleId="Prrafodelista">
    <w:name w:val="List Paragraph"/>
    <w:basedOn w:val="Normal"/>
    <w:uiPriority w:val="34"/>
    <w:qFormat/>
    <w:rsid w:val="008C7876"/>
    <w:pPr>
      <w:spacing w:after="240" w:line="240" w:lineRule="auto"/>
      <w:ind w:left="720"/>
      <w:contextualSpacing/>
    </w:pPr>
    <w:rPr>
      <w:rFonts w:ascii="Times New Roman" w:eastAsia="Times New Roman" w:hAnsi="Times New Roman" w:cs="Times New Roman"/>
      <w:szCs w:val="24"/>
      <w:lang w:val="es-ES_tradnl"/>
    </w:rPr>
  </w:style>
  <w:style w:type="table" w:styleId="Cuadrculaclara-nfasis1">
    <w:name w:val="Light Grid Accent 1"/>
    <w:basedOn w:val="Tablanormal"/>
    <w:uiPriority w:val="62"/>
    <w:rsid w:val="003227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nfasis1">
    <w:name w:val="Light Shading Accent 1"/>
    <w:basedOn w:val="Tablanormal"/>
    <w:uiPriority w:val="60"/>
    <w:rsid w:val="001653A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1">
    <w:name w:val="Medium List 2 Accent 1"/>
    <w:basedOn w:val="Tablanormal"/>
    <w:uiPriority w:val="66"/>
    <w:rsid w:val="00FD05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1">
    <w:name w:val="Medium Shading 1 Accent 1"/>
    <w:basedOn w:val="Tablanormal"/>
    <w:uiPriority w:val="63"/>
    <w:rsid w:val="00FD059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FD059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nfasis5">
    <w:name w:val="Medium List 1 Accent 5"/>
    <w:basedOn w:val="Tablanormal"/>
    <w:uiPriority w:val="65"/>
    <w:rsid w:val="000E470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BDCManualBody">
    <w:name w:val="SBDC Manual Body"/>
    <w:basedOn w:val="Normal"/>
    <w:qFormat/>
    <w:rsid w:val="008B5658"/>
    <w:pPr>
      <w:tabs>
        <w:tab w:val="left" w:pos="993"/>
        <w:tab w:val="left" w:pos="2520"/>
      </w:tabs>
      <w:autoSpaceDE w:val="0"/>
      <w:autoSpaceDN w:val="0"/>
      <w:adjustRightInd w:val="0"/>
      <w:spacing w:after="220" w:line="281" w:lineRule="auto"/>
      <w:jc w:val="both"/>
    </w:pPr>
    <w:rPr>
      <w:rFonts w:ascii="Times New Roman" w:eastAsia="Times New Roman" w:hAnsi="Times New Roman" w:cs="Arial"/>
      <w:sz w:val="24"/>
      <w:lang w:val="es-ES_tradnl"/>
    </w:rPr>
  </w:style>
  <w:style w:type="table" w:styleId="Tablaconcuadrcula">
    <w:name w:val="Table Grid"/>
    <w:basedOn w:val="Tablanormal"/>
    <w:uiPriority w:val="59"/>
    <w:rsid w:val="008B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8B56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extodeglobo">
    <w:name w:val="Balloon Text"/>
    <w:basedOn w:val="Normal"/>
    <w:link w:val="TextodegloboCar"/>
    <w:uiPriority w:val="99"/>
    <w:semiHidden/>
    <w:unhideWhenUsed/>
    <w:rsid w:val="001E04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49F"/>
    <w:rPr>
      <w:rFonts w:ascii="Tahoma" w:hAnsi="Tahoma" w:cs="Tahoma"/>
      <w:sz w:val="16"/>
      <w:szCs w:val="16"/>
    </w:rPr>
  </w:style>
  <w:style w:type="paragraph" w:styleId="Encabezado">
    <w:name w:val="header"/>
    <w:basedOn w:val="Normal"/>
    <w:link w:val="EncabezadoCar"/>
    <w:uiPriority w:val="99"/>
    <w:unhideWhenUsed/>
    <w:rsid w:val="00753B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BB4"/>
  </w:style>
  <w:style w:type="paragraph" w:styleId="Piedepgina">
    <w:name w:val="footer"/>
    <w:basedOn w:val="Normal"/>
    <w:link w:val="PiedepginaCar"/>
    <w:uiPriority w:val="99"/>
    <w:unhideWhenUsed/>
    <w:rsid w:val="00753B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3BB4"/>
  </w:style>
  <w:style w:type="paragraph" w:styleId="Prrafodelista">
    <w:name w:val="List Paragraph"/>
    <w:basedOn w:val="Normal"/>
    <w:uiPriority w:val="34"/>
    <w:qFormat/>
    <w:rsid w:val="008C7876"/>
    <w:pPr>
      <w:spacing w:after="240" w:line="240" w:lineRule="auto"/>
      <w:ind w:left="720"/>
      <w:contextualSpacing/>
    </w:pPr>
    <w:rPr>
      <w:rFonts w:ascii="Times New Roman" w:eastAsia="Times New Roman" w:hAnsi="Times New Roman" w:cs="Times New Roman"/>
      <w:szCs w:val="24"/>
      <w:lang w:val="es-ES_tradnl"/>
    </w:rPr>
  </w:style>
  <w:style w:type="table" w:styleId="Cuadrculaclara-nfasis1">
    <w:name w:val="Light Grid Accent 1"/>
    <w:basedOn w:val="Tablanormal"/>
    <w:uiPriority w:val="62"/>
    <w:rsid w:val="0032277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nfasis1">
    <w:name w:val="Light Shading Accent 1"/>
    <w:basedOn w:val="Tablanormal"/>
    <w:uiPriority w:val="60"/>
    <w:rsid w:val="001653A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1">
    <w:name w:val="Medium List 2 Accent 1"/>
    <w:basedOn w:val="Tablanormal"/>
    <w:uiPriority w:val="66"/>
    <w:rsid w:val="00FD059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nfasis1">
    <w:name w:val="Medium Shading 1 Accent 1"/>
    <w:basedOn w:val="Tablanormal"/>
    <w:uiPriority w:val="63"/>
    <w:rsid w:val="00FD059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staclara-nfasis5">
    <w:name w:val="Light List Accent 5"/>
    <w:basedOn w:val="Tablanormal"/>
    <w:uiPriority w:val="61"/>
    <w:rsid w:val="00FD059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nfasis5">
    <w:name w:val="Medium List 1 Accent 5"/>
    <w:basedOn w:val="Tablanormal"/>
    <w:uiPriority w:val="65"/>
    <w:rsid w:val="000E4705"/>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0596">
      <w:bodyDiv w:val="1"/>
      <w:marLeft w:val="0"/>
      <w:marRight w:val="0"/>
      <w:marTop w:val="0"/>
      <w:marBottom w:val="0"/>
      <w:divBdr>
        <w:top w:val="none" w:sz="0" w:space="0" w:color="auto"/>
        <w:left w:val="none" w:sz="0" w:space="0" w:color="auto"/>
        <w:bottom w:val="none" w:sz="0" w:space="0" w:color="auto"/>
        <w:right w:val="none" w:sz="0" w:space="0" w:color="auto"/>
      </w:divBdr>
    </w:div>
    <w:div w:id="938565301">
      <w:bodyDiv w:val="1"/>
      <w:marLeft w:val="0"/>
      <w:marRight w:val="0"/>
      <w:marTop w:val="0"/>
      <w:marBottom w:val="0"/>
      <w:divBdr>
        <w:top w:val="none" w:sz="0" w:space="0" w:color="auto"/>
        <w:left w:val="none" w:sz="0" w:space="0" w:color="auto"/>
        <w:bottom w:val="none" w:sz="0" w:space="0" w:color="auto"/>
        <w:right w:val="none" w:sz="0" w:space="0" w:color="auto"/>
      </w:divBdr>
    </w:div>
    <w:div w:id="946231398">
      <w:bodyDiv w:val="1"/>
      <w:marLeft w:val="0"/>
      <w:marRight w:val="0"/>
      <w:marTop w:val="0"/>
      <w:marBottom w:val="0"/>
      <w:divBdr>
        <w:top w:val="none" w:sz="0" w:space="0" w:color="auto"/>
        <w:left w:val="none" w:sz="0" w:space="0" w:color="auto"/>
        <w:bottom w:val="none" w:sz="0" w:space="0" w:color="auto"/>
        <w:right w:val="none" w:sz="0" w:space="0" w:color="auto"/>
      </w:divBdr>
    </w:div>
    <w:div w:id="1071267975">
      <w:bodyDiv w:val="1"/>
      <w:marLeft w:val="0"/>
      <w:marRight w:val="0"/>
      <w:marTop w:val="0"/>
      <w:marBottom w:val="0"/>
      <w:divBdr>
        <w:top w:val="none" w:sz="0" w:space="0" w:color="auto"/>
        <w:left w:val="none" w:sz="0" w:space="0" w:color="auto"/>
        <w:bottom w:val="none" w:sz="0" w:space="0" w:color="auto"/>
        <w:right w:val="none" w:sz="0" w:space="0" w:color="auto"/>
      </w:divBdr>
    </w:div>
    <w:div w:id="1134252347">
      <w:bodyDiv w:val="1"/>
      <w:marLeft w:val="0"/>
      <w:marRight w:val="0"/>
      <w:marTop w:val="0"/>
      <w:marBottom w:val="0"/>
      <w:divBdr>
        <w:top w:val="none" w:sz="0" w:space="0" w:color="auto"/>
        <w:left w:val="none" w:sz="0" w:space="0" w:color="auto"/>
        <w:bottom w:val="none" w:sz="0" w:space="0" w:color="auto"/>
        <w:right w:val="none" w:sz="0" w:space="0" w:color="auto"/>
      </w:divBdr>
      <w:divsChild>
        <w:div w:id="1526597114">
          <w:marLeft w:val="547"/>
          <w:marRight w:val="0"/>
          <w:marTop w:val="0"/>
          <w:marBottom w:val="0"/>
          <w:divBdr>
            <w:top w:val="none" w:sz="0" w:space="0" w:color="auto"/>
            <w:left w:val="none" w:sz="0" w:space="0" w:color="auto"/>
            <w:bottom w:val="none" w:sz="0" w:space="0" w:color="auto"/>
            <w:right w:val="none" w:sz="0" w:space="0" w:color="auto"/>
          </w:divBdr>
        </w:div>
      </w:divsChild>
    </w:div>
    <w:div w:id="1210648461">
      <w:bodyDiv w:val="1"/>
      <w:marLeft w:val="0"/>
      <w:marRight w:val="0"/>
      <w:marTop w:val="0"/>
      <w:marBottom w:val="0"/>
      <w:divBdr>
        <w:top w:val="none" w:sz="0" w:space="0" w:color="auto"/>
        <w:left w:val="none" w:sz="0" w:space="0" w:color="auto"/>
        <w:bottom w:val="none" w:sz="0" w:space="0" w:color="auto"/>
        <w:right w:val="none" w:sz="0" w:space="0" w:color="auto"/>
      </w:divBdr>
    </w:div>
    <w:div w:id="1820001990">
      <w:bodyDiv w:val="1"/>
      <w:marLeft w:val="0"/>
      <w:marRight w:val="0"/>
      <w:marTop w:val="0"/>
      <w:marBottom w:val="0"/>
      <w:divBdr>
        <w:top w:val="none" w:sz="0" w:space="0" w:color="auto"/>
        <w:left w:val="none" w:sz="0" w:space="0" w:color="auto"/>
        <w:bottom w:val="none" w:sz="0" w:space="0" w:color="auto"/>
        <w:right w:val="none" w:sz="0" w:space="0" w:color="auto"/>
      </w:divBdr>
    </w:div>
    <w:div w:id="197055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67797-C3F0-45C6-B802-303C3BA4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6447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Barahona Gaete</dc:creator>
  <cp:lastModifiedBy>Felipe De La Maza Sepulveda</cp:lastModifiedBy>
  <cp:revision>2</cp:revision>
  <cp:lastPrinted>2016-07-19T15:50:00Z</cp:lastPrinted>
  <dcterms:created xsi:type="dcterms:W3CDTF">2016-09-07T19:29:00Z</dcterms:created>
  <dcterms:modified xsi:type="dcterms:W3CDTF">2016-09-07T19:29:00Z</dcterms:modified>
</cp:coreProperties>
</file>