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668"/>
        <w:gridCol w:w="7310"/>
      </w:tblGrid>
      <w:tr w:rsidR="00F04CD4" w:rsidRPr="00503D17" w:rsidTr="00F04CD4">
        <w:tc>
          <w:tcPr>
            <w:tcW w:w="1668" w:type="dxa"/>
          </w:tcPr>
          <w:p w:rsidR="00F04CD4" w:rsidRPr="00503D17" w:rsidRDefault="00F04CD4">
            <w:r w:rsidRPr="00503D17">
              <w:t>REGIÓN</w:t>
            </w:r>
          </w:p>
        </w:tc>
        <w:tc>
          <w:tcPr>
            <w:tcW w:w="7310" w:type="dxa"/>
          </w:tcPr>
          <w:p w:rsidR="00F04CD4" w:rsidRPr="00503D17" w:rsidRDefault="007156ED">
            <w:r>
              <w:t>Maule</w:t>
            </w:r>
          </w:p>
        </w:tc>
      </w:tr>
      <w:tr w:rsidR="00F04CD4" w:rsidRPr="00503D17" w:rsidTr="00F04CD4">
        <w:tc>
          <w:tcPr>
            <w:tcW w:w="1668" w:type="dxa"/>
          </w:tcPr>
          <w:p w:rsidR="00F04CD4" w:rsidRPr="00503D17" w:rsidRDefault="00F04CD4">
            <w:r w:rsidRPr="00503D17">
              <w:t>CENTRO</w:t>
            </w:r>
          </w:p>
        </w:tc>
        <w:tc>
          <w:tcPr>
            <w:tcW w:w="7310" w:type="dxa"/>
          </w:tcPr>
          <w:p w:rsidR="00F04CD4" w:rsidRPr="00503D17" w:rsidRDefault="007156ED">
            <w:r>
              <w:t>Cauquenes</w:t>
            </w:r>
          </w:p>
        </w:tc>
      </w:tr>
      <w:tr w:rsidR="001E0BF5" w:rsidRPr="00503D17" w:rsidTr="001E0BF5">
        <w:tc>
          <w:tcPr>
            <w:tcW w:w="1668" w:type="dxa"/>
          </w:tcPr>
          <w:p w:rsidR="001E0BF5" w:rsidRPr="00503D17" w:rsidRDefault="001E0BF5">
            <w:r w:rsidRPr="00503D17">
              <w:t>TEMA CENTRAL</w:t>
            </w:r>
          </w:p>
        </w:tc>
        <w:tc>
          <w:tcPr>
            <w:tcW w:w="7310" w:type="dxa"/>
          </w:tcPr>
          <w:p w:rsidR="001E0BF5" w:rsidRPr="00503D17" w:rsidRDefault="000E268F">
            <w:r w:rsidRPr="00503D17">
              <w:t xml:space="preserve">Acuerdo de Negociación </w:t>
            </w:r>
          </w:p>
        </w:tc>
      </w:tr>
      <w:tr w:rsidR="001E0BF5" w:rsidRPr="00503D17" w:rsidTr="001E0BF5">
        <w:tc>
          <w:tcPr>
            <w:tcW w:w="1668" w:type="dxa"/>
          </w:tcPr>
          <w:p w:rsidR="001E0BF5" w:rsidRPr="00503D17" w:rsidRDefault="001E0BF5">
            <w:r w:rsidRPr="00503D17">
              <w:t>PARTICIPANTES</w:t>
            </w:r>
          </w:p>
        </w:tc>
        <w:tc>
          <w:tcPr>
            <w:tcW w:w="7310" w:type="dxa"/>
          </w:tcPr>
          <w:p w:rsidR="007156ED" w:rsidRPr="000843E8" w:rsidRDefault="007156ED" w:rsidP="007156ED">
            <w:pPr>
              <w:pStyle w:val="Prrafodelista"/>
              <w:numPr>
                <w:ilvl w:val="0"/>
                <w:numId w:val="21"/>
              </w:numPr>
              <w:ind w:left="175" w:hanging="142"/>
              <w:jc w:val="both"/>
            </w:pPr>
            <w:r w:rsidRPr="000843E8">
              <w:t>Victor Monzón, Vicerrector,  Universidad Católica del Maule.</w:t>
            </w:r>
          </w:p>
          <w:p w:rsidR="007156ED" w:rsidRPr="000843E8" w:rsidRDefault="007156ED" w:rsidP="007156ED">
            <w:pPr>
              <w:pStyle w:val="Prrafodelista"/>
              <w:numPr>
                <w:ilvl w:val="0"/>
                <w:numId w:val="21"/>
              </w:numPr>
              <w:ind w:left="175" w:hanging="142"/>
              <w:jc w:val="both"/>
            </w:pPr>
            <w:r w:rsidRPr="000843E8">
              <w:t>Samuel Chambe Toledo Director Regional, Maule</w:t>
            </w:r>
          </w:p>
          <w:p w:rsidR="007156ED" w:rsidRPr="000843E8" w:rsidRDefault="007156ED" w:rsidP="007156ED">
            <w:pPr>
              <w:pStyle w:val="Prrafodelista"/>
              <w:numPr>
                <w:ilvl w:val="0"/>
                <w:numId w:val="21"/>
              </w:numPr>
              <w:ind w:left="175" w:hanging="142"/>
              <w:jc w:val="both"/>
            </w:pPr>
            <w:r w:rsidRPr="000843E8">
              <w:t>Rodrigo Uribe, Director Centro Cauquenes.</w:t>
            </w:r>
          </w:p>
          <w:p w:rsidR="007156ED" w:rsidRPr="000843E8" w:rsidRDefault="007156ED" w:rsidP="007156ED">
            <w:pPr>
              <w:pStyle w:val="Prrafodelista"/>
              <w:numPr>
                <w:ilvl w:val="0"/>
                <w:numId w:val="21"/>
              </w:numPr>
              <w:ind w:left="175" w:hanging="142"/>
              <w:jc w:val="both"/>
            </w:pPr>
            <w:r w:rsidRPr="000843E8">
              <w:t xml:space="preserve">Claudia Rodriguez, Dirección Regional Sercotec, Maule </w:t>
            </w:r>
          </w:p>
          <w:p w:rsidR="007156ED" w:rsidRPr="000843E8" w:rsidRDefault="007156ED" w:rsidP="007156ED">
            <w:pPr>
              <w:pStyle w:val="Prrafodelista"/>
              <w:numPr>
                <w:ilvl w:val="0"/>
                <w:numId w:val="21"/>
              </w:numPr>
              <w:ind w:left="175" w:hanging="142"/>
              <w:jc w:val="both"/>
            </w:pPr>
            <w:r w:rsidRPr="000843E8">
              <w:t>Claudia Martinovic, profesional Gerencia de Centros</w:t>
            </w:r>
          </w:p>
          <w:p w:rsidR="007156ED" w:rsidRPr="000843E8" w:rsidRDefault="007156ED" w:rsidP="007156ED">
            <w:pPr>
              <w:pStyle w:val="Prrafodelista"/>
              <w:numPr>
                <w:ilvl w:val="0"/>
                <w:numId w:val="21"/>
              </w:numPr>
              <w:ind w:left="175" w:hanging="142"/>
              <w:jc w:val="both"/>
            </w:pPr>
            <w:r w:rsidRPr="000843E8">
              <w:t>Carolina García, profesional Gerencia de Centros</w:t>
            </w:r>
          </w:p>
          <w:p w:rsidR="001E0BF5" w:rsidRPr="00503D17" w:rsidRDefault="007156ED" w:rsidP="007156ED">
            <w:pPr>
              <w:pStyle w:val="Prrafodelista"/>
              <w:numPr>
                <w:ilvl w:val="0"/>
                <w:numId w:val="21"/>
              </w:numPr>
              <w:ind w:left="175" w:hanging="142"/>
            </w:pPr>
            <w:r w:rsidRPr="000843E8">
              <w:t>Felipe de la Maza , profesional Gerencia de Centros</w:t>
            </w:r>
          </w:p>
        </w:tc>
      </w:tr>
      <w:tr w:rsidR="001E0BF5" w:rsidRPr="00503D17" w:rsidTr="001E0BF5">
        <w:tc>
          <w:tcPr>
            <w:tcW w:w="1668" w:type="dxa"/>
          </w:tcPr>
          <w:p w:rsidR="001E0BF5" w:rsidRPr="00503D17" w:rsidRDefault="001E0BF5">
            <w:r w:rsidRPr="00503D17">
              <w:t>FECHA</w:t>
            </w:r>
          </w:p>
        </w:tc>
        <w:tc>
          <w:tcPr>
            <w:tcW w:w="7310" w:type="dxa"/>
          </w:tcPr>
          <w:p w:rsidR="001E0BF5" w:rsidRPr="00503D17" w:rsidRDefault="006D0800" w:rsidP="007156ED">
            <w:r>
              <w:t>0</w:t>
            </w:r>
            <w:r w:rsidR="007156ED">
              <w:t>7</w:t>
            </w:r>
            <w:r>
              <w:t xml:space="preserve"> de septiembre de 2016</w:t>
            </w:r>
          </w:p>
        </w:tc>
      </w:tr>
      <w:tr w:rsidR="001E0BF5" w:rsidRPr="00503D17" w:rsidTr="001E0BF5">
        <w:tc>
          <w:tcPr>
            <w:tcW w:w="1668" w:type="dxa"/>
          </w:tcPr>
          <w:p w:rsidR="001E0BF5" w:rsidRPr="00503D17" w:rsidRDefault="001E0BF5">
            <w:r w:rsidRPr="00503D17">
              <w:t>AUTOR MINUTA</w:t>
            </w:r>
          </w:p>
        </w:tc>
        <w:tc>
          <w:tcPr>
            <w:tcW w:w="7310" w:type="dxa"/>
          </w:tcPr>
          <w:p w:rsidR="001E0BF5" w:rsidRPr="00503D17" w:rsidRDefault="00A500E0" w:rsidP="00493154">
            <w:r>
              <w:t>Felipe de Maza</w:t>
            </w:r>
          </w:p>
        </w:tc>
      </w:tr>
    </w:tbl>
    <w:p w:rsidR="001E0BF5" w:rsidRDefault="001E0BF5"/>
    <w:tbl>
      <w:tblPr>
        <w:tblStyle w:val="Tablaconcuadrcula"/>
        <w:tblW w:w="9889" w:type="dxa"/>
        <w:tblLook w:val="04A0" w:firstRow="1" w:lastRow="0" w:firstColumn="1" w:lastColumn="0" w:noHBand="0" w:noVBand="1"/>
      </w:tblPr>
      <w:tblGrid>
        <w:gridCol w:w="2264"/>
        <w:gridCol w:w="1404"/>
        <w:gridCol w:w="1478"/>
        <w:gridCol w:w="1350"/>
        <w:gridCol w:w="1932"/>
        <w:gridCol w:w="1461"/>
      </w:tblGrid>
      <w:tr w:rsidR="00DE01DB" w:rsidTr="000F5D06">
        <w:tc>
          <w:tcPr>
            <w:tcW w:w="2376" w:type="dxa"/>
            <w:shd w:val="clear" w:color="auto" w:fill="BFBFBF" w:themeFill="background1" w:themeFillShade="BF"/>
          </w:tcPr>
          <w:p w:rsidR="00DE01DB" w:rsidRPr="00DE01DB" w:rsidRDefault="00DE01DB">
            <w:pPr>
              <w:rPr>
                <w:b/>
              </w:rPr>
            </w:pPr>
            <w:r w:rsidRPr="00DE01DB">
              <w:rPr>
                <w:b/>
              </w:rPr>
              <w:t>Centro</w:t>
            </w:r>
          </w:p>
        </w:tc>
        <w:tc>
          <w:tcPr>
            <w:tcW w:w="1418" w:type="dxa"/>
            <w:shd w:val="clear" w:color="auto" w:fill="BFBFBF" w:themeFill="background1" w:themeFillShade="BF"/>
          </w:tcPr>
          <w:p w:rsidR="00DE01DB" w:rsidRPr="00DE01DB" w:rsidRDefault="00DE01DB">
            <w:pPr>
              <w:rPr>
                <w:b/>
              </w:rPr>
            </w:pPr>
            <w:r w:rsidRPr="00DE01DB">
              <w:rPr>
                <w:b/>
              </w:rPr>
              <w:t xml:space="preserve">Ubicación </w:t>
            </w:r>
          </w:p>
        </w:tc>
        <w:tc>
          <w:tcPr>
            <w:tcW w:w="1276" w:type="dxa"/>
            <w:shd w:val="clear" w:color="auto" w:fill="BFBFBF" w:themeFill="background1" w:themeFillShade="BF"/>
          </w:tcPr>
          <w:p w:rsidR="00DE01DB" w:rsidRPr="00DE01DB" w:rsidRDefault="00DE01DB" w:rsidP="00DE01DB">
            <w:pPr>
              <w:rPr>
                <w:b/>
              </w:rPr>
            </w:pPr>
            <w:r w:rsidRPr="00DE01DB">
              <w:rPr>
                <w:b/>
              </w:rPr>
              <w:t>Dirección</w:t>
            </w:r>
          </w:p>
        </w:tc>
        <w:tc>
          <w:tcPr>
            <w:tcW w:w="1369" w:type="dxa"/>
            <w:shd w:val="clear" w:color="auto" w:fill="BFBFBF" w:themeFill="background1" w:themeFillShade="BF"/>
          </w:tcPr>
          <w:p w:rsidR="00DE01DB" w:rsidRPr="00DE01DB" w:rsidRDefault="00DE01DB" w:rsidP="00BC08E4">
            <w:pPr>
              <w:rPr>
                <w:b/>
              </w:rPr>
            </w:pPr>
            <w:r w:rsidRPr="00DE01DB">
              <w:rPr>
                <w:b/>
              </w:rPr>
              <w:t>Cobertura</w:t>
            </w:r>
          </w:p>
        </w:tc>
        <w:tc>
          <w:tcPr>
            <w:tcW w:w="1953" w:type="dxa"/>
            <w:shd w:val="clear" w:color="auto" w:fill="BFBFBF" w:themeFill="background1" w:themeFillShade="BF"/>
          </w:tcPr>
          <w:p w:rsidR="00DE01DB" w:rsidRPr="00DE01DB" w:rsidRDefault="00DE01DB" w:rsidP="00BC08E4">
            <w:pPr>
              <w:rPr>
                <w:b/>
              </w:rPr>
            </w:pPr>
            <w:r w:rsidRPr="00DE01DB">
              <w:rPr>
                <w:b/>
              </w:rPr>
              <w:t xml:space="preserve">Días de Funcionamiento </w:t>
            </w:r>
          </w:p>
        </w:tc>
        <w:tc>
          <w:tcPr>
            <w:tcW w:w="1497" w:type="dxa"/>
            <w:shd w:val="clear" w:color="auto" w:fill="BFBFBF" w:themeFill="background1" w:themeFillShade="BF"/>
          </w:tcPr>
          <w:p w:rsidR="00DE01DB" w:rsidRPr="00DE01DB" w:rsidRDefault="00DE01DB" w:rsidP="00BC08E4">
            <w:pPr>
              <w:rPr>
                <w:b/>
              </w:rPr>
            </w:pPr>
            <w:r w:rsidRPr="00DE01DB">
              <w:rPr>
                <w:b/>
              </w:rPr>
              <w:t xml:space="preserve">Horarios </w:t>
            </w:r>
          </w:p>
        </w:tc>
      </w:tr>
      <w:tr w:rsidR="002B23B5" w:rsidTr="000F5D06">
        <w:trPr>
          <w:trHeight w:val="319"/>
        </w:trPr>
        <w:tc>
          <w:tcPr>
            <w:tcW w:w="2376" w:type="dxa"/>
          </w:tcPr>
          <w:p w:rsidR="002B23B5" w:rsidRDefault="007156ED" w:rsidP="000F5D06">
            <w:r>
              <w:t>Satélite</w:t>
            </w:r>
          </w:p>
        </w:tc>
        <w:tc>
          <w:tcPr>
            <w:tcW w:w="1418" w:type="dxa"/>
          </w:tcPr>
          <w:p w:rsidR="002B23B5" w:rsidRDefault="007156ED" w:rsidP="00804D25">
            <w:pPr>
              <w:jc w:val="both"/>
            </w:pPr>
            <w:r>
              <w:t>Comuna de Empedrado</w:t>
            </w:r>
          </w:p>
        </w:tc>
        <w:tc>
          <w:tcPr>
            <w:tcW w:w="1276" w:type="dxa"/>
          </w:tcPr>
          <w:p w:rsidR="002B23B5" w:rsidRDefault="000843E8" w:rsidP="002B23B5">
            <w:r>
              <w:t>Dependencias municipales (clientes prefieren terreno)</w:t>
            </w:r>
          </w:p>
        </w:tc>
        <w:tc>
          <w:tcPr>
            <w:tcW w:w="1369" w:type="dxa"/>
          </w:tcPr>
          <w:p w:rsidR="002B23B5" w:rsidRDefault="007156ED" w:rsidP="00F35907">
            <w:r>
              <w:t>Toda la comuna</w:t>
            </w:r>
          </w:p>
        </w:tc>
        <w:tc>
          <w:tcPr>
            <w:tcW w:w="1953" w:type="dxa"/>
          </w:tcPr>
          <w:p w:rsidR="002B23B5" w:rsidRDefault="007156ED" w:rsidP="00B8797C">
            <w:r>
              <w:t>1 vez por semana</w:t>
            </w:r>
          </w:p>
          <w:p w:rsidR="000843E8" w:rsidRDefault="000843E8" w:rsidP="00B8797C">
            <w:r>
              <w:t>Miércoles</w:t>
            </w:r>
          </w:p>
        </w:tc>
        <w:tc>
          <w:tcPr>
            <w:tcW w:w="1497" w:type="dxa"/>
          </w:tcPr>
          <w:p w:rsidR="002B23B5" w:rsidRDefault="000843E8" w:rsidP="00B8797C">
            <w:r>
              <w:t>09:00-18:00</w:t>
            </w:r>
          </w:p>
        </w:tc>
      </w:tr>
      <w:tr w:rsidR="00DE01DB" w:rsidTr="000F5D06">
        <w:trPr>
          <w:trHeight w:val="319"/>
        </w:trPr>
        <w:tc>
          <w:tcPr>
            <w:tcW w:w="2376" w:type="dxa"/>
          </w:tcPr>
          <w:p w:rsidR="00DE01DB" w:rsidRDefault="007156ED" w:rsidP="00965B22">
            <w:r>
              <w:t>Atención Remota</w:t>
            </w:r>
          </w:p>
        </w:tc>
        <w:tc>
          <w:tcPr>
            <w:tcW w:w="1418" w:type="dxa"/>
          </w:tcPr>
          <w:p w:rsidR="00DE01DB" w:rsidRDefault="007156ED" w:rsidP="00A500E0">
            <w:pPr>
              <w:jc w:val="both"/>
            </w:pPr>
            <w:proofErr w:type="spellStart"/>
            <w:r>
              <w:t>Pelluhue</w:t>
            </w:r>
            <w:proofErr w:type="spellEnd"/>
            <w:r>
              <w:t xml:space="preserve"> y Chanco</w:t>
            </w:r>
          </w:p>
        </w:tc>
        <w:tc>
          <w:tcPr>
            <w:tcW w:w="1276" w:type="dxa"/>
          </w:tcPr>
          <w:p w:rsidR="00DE01DB" w:rsidRDefault="007156ED" w:rsidP="00B85BE3">
            <w:r>
              <w:t>Visitas en terreno</w:t>
            </w:r>
          </w:p>
        </w:tc>
        <w:tc>
          <w:tcPr>
            <w:tcW w:w="1369" w:type="dxa"/>
          </w:tcPr>
          <w:p w:rsidR="00DE01DB" w:rsidRDefault="007156ED" w:rsidP="00ED63DA">
            <w:r>
              <w:t>Ambas comunas</w:t>
            </w:r>
          </w:p>
        </w:tc>
        <w:tc>
          <w:tcPr>
            <w:tcW w:w="1953" w:type="dxa"/>
          </w:tcPr>
          <w:p w:rsidR="00DE01DB" w:rsidRDefault="007156ED" w:rsidP="009A1B79">
            <w:r>
              <w:t>Por demanda</w:t>
            </w:r>
          </w:p>
        </w:tc>
        <w:tc>
          <w:tcPr>
            <w:tcW w:w="1497" w:type="dxa"/>
          </w:tcPr>
          <w:p w:rsidR="00DE01DB" w:rsidRDefault="000843E8" w:rsidP="00F35907">
            <w:r>
              <w:t>Por demanda</w:t>
            </w:r>
          </w:p>
        </w:tc>
      </w:tr>
    </w:tbl>
    <w:p w:rsidR="00DE01DB" w:rsidRDefault="00DE01DB"/>
    <w:p w:rsidR="00F04CD4" w:rsidRPr="00503D17" w:rsidRDefault="001E0BF5" w:rsidP="00C6570D">
      <w:pPr>
        <w:pStyle w:val="Prrafodelista"/>
        <w:numPr>
          <w:ilvl w:val="0"/>
          <w:numId w:val="1"/>
        </w:numPr>
        <w:rPr>
          <w:b/>
        </w:rPr>
      </w:pPr>
      <w:r w:rsidRPr="00503D17">
        <w:rPr>
          <w:b/>
        </w:rPr>
        <w:t xml:space="preserve">Comité directivo: </w:t>
      </w:r>
      <w:r w:rsidRPr="00503D17">
        <w:t>El comité directivo está compuesto por: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1984"/>
        <w:gridCol w:w="3686"/>
        <w:gridCol w:w="2551"/>
      </w:tblGrid>
      <w:tr w:rsidR="00503D17" w:rsidRPr="00503D17" w:rsidTr="00B34AB7">
        <w:tc>
          <w:tcPr>
            <w:tcW w:w="1702" w:type="dxa"/>
            <w:shd w:val="clear" w:color="auto" w:fill="D9D9D9"/>
            <w:tcMar>
              <w:top w:w="0" w:type="dxa"/>
              <w:left w:w="108" w:type="dxa"/>
              <w:bottom w:w="0" w:type="dxa"/>
              <w:right w:w="108" w:type="dxa"/>
            </w:tcMar>
            <w:hideMark/>
          </w:tcPr>
          <w:p w:rsidR="00C6570D" w:rsidRPr="00503D17" w:rsidRDefault="00C6570D" w:rsidP="003A53CB">
            <w:pPr>
              <w:pStyle w:val="Prrafodelista"/>
              <w:ind w:left="0"/>
              <w:rPr>
                <w:b/>
                <w:bCs/>
                <w:color w:val="000000" w:themeColor="text1"/>
              </w:rPr>
            </w:pPr>
            <w:r w:rsidRPr="00503D17">
              <w:rPr>
                <w:b/>
                <w:bCs/>
                <w:color w:val="000000" w:themeColor="text1"/>
              </w:rPr>
              <w:t>Nombre miembro del directorio</w:t>
            </w:r>
          </w:p>
        </w:tc>
        <w:tc>
          <w:tcPr>
            <w:tcW w:w="1984" w:type="dxa"/>
            <w:shd w:val="clear" w:color="auto" w:fill="D9D9D9"/>
            <w:tcMar>
              <w:top w:w="0" w:type="dxa"/>
              <w:left w:w="108" w:type="dxa"/>
              <w:bottom w:w="0" w:type="dxa"/>
              <w:right w:w="108" w:type="dxa"/>
            </w:tcMar>
            <w:hideMark/>
          </w:tcPr>
          <w:p w:rsidR="00C6570D" w:rsidRPr="00503D17" w:rsidRDefault="00C6570D" w:rsidP="003A53CB">
            <w:pPr>
              <w:pStyle w:val="Prrafodelista"/>
              <w:ind w:left="0"/>
              <w:rPr>
                <w:b/>
                <w:bCs/>
                <w:color w:val="000000" w:themeColor="text1"/>
              </w:rPr>
            </w:pPr>
            <w:r w:rsidRPr="00503D17">
              <w:rPr>
                <w:b/>
                <w:bCs/>
                <w:color w:val="000000" w:themeColor="text1"/>
              </w:rPr>
              <w:t>Entidad que representa</w:t>
            </w:r>
          </w:p>
        </w:tc>
        <w:tc>
          <w:tcPr>
            <w:tcW w:w="3686" w:type="dxa"/>
            <w:shd w:val="clear" w:color="auto" w:fill="D9D9D9"/>
            <w:tcMar>
              <w:top w:w="0" w:type="dxa"/>
              <w:left w:w="108" w:type="dxa"/>
              <w:bottom w:w="0" w:type="dxa"/>
              <w:right w:w="108" w:type="dxa"/>
            </w:tcMar>
            <w:hideMark/>
          </w:tcPr>
          <w:p w:rsidR="00C6570D" w:rsidRPr="00503D17" w:rsidRDefault="00C6570D" w:rsidP="003A53CB">
            <w:pPr>
              <w:pStyle w:val="Prrafodelista"/>
              <w:ind w:left="0"/>
              <w:rPr>
                <w:b/>
                <w:bCs/>
                <w:color w:val="000000" w:themeColor="text1"/>
              </w:rPr>
            </w:pPr>
            <w:r w:rsidRPr="00503D17">
              <w:rPr>
                <w:b/>
                <w:bCs/>
                <w:color w:val="000000" w:themeColor="text1"/>
              </w:rPr>
              <w:t>Aporte estratégico del socio.</w:t>
            </w:r>
          </w:p>
        </w:tc>
        <w:tc>
          <w:tcPr>
            <w:tcW w:w="2551" w:type="dxa"/>
            <w:shd w:val="clear" w:color="auto" w:fill="D9D9D9"/>
            <w:tcMar>
              <w:top w:w="0" w:type="dxa"/>
              <w:left w:w="108" w:type="dxa"/>
              <w:bottom w:w="0" w:type="dxa"/>
              <w:right w:w="108" w:type="dxa"/>
            </w:tcMar>
            <w:hideMark/>
          </w:tcPr>
          <w:p w:rsidR="00C6570D" w:rsidRPr="00503D17" w:rsidRDefault="00C6570D" w:rsidP="003A53CB">
            <w:pPr>
              <w:pStyle w:val="Prrafodelista"/>
              <w:ind w:left="0"/>
              <w:rPr>
                <w:b/>
                <w:bCs/>
                <w:color w:val="000000" w:themeColor="text1"/>
              </w:rPr>
            </w:pPr>
            <w:r w:rsidRPr="00503D17">
              <w:rPr>
                <w:b/>
                <w:bCs/>
                <w:color w:val="000000" w:themeColor="text1"/>
              </w:rPr>
              <w:t>Relación medio local</w:t>
            </w:r>
          </w:p>
        </w:tc>
      </w:tr>
      <w:tr w:rsidR="007156ED" w:rsidRPr="00503D17" w:rsidTr="00C56474">
        <w:trPr>
          <w:trHeight w:val="260"/>
        </w:trPr>
        <w:tc>
          <w:tcPr>
            <w:tcW w:w="1702" w:type="dxa"/>
            <w:tcMar>
              <w:top w:w="0" w:type="dxa"/>
              <w:left w:w="108" w:type="dxa"/>
              <w:bottom w:w="0" w:type="dxa"/>
              <w:right w:w="108" w:type="dxa"/>
            </w:tcMar>
          </w:tcPr>
          <w:p w:rsidR="007156ED" w:rsidRDefault="007156ED" w:rsidP="007156ED">
            <w:pPr>
              <w:pStyle w:val="Prrafodelista"/>
              <w:spacing w:after="0" w:line="252" w:lineRule="auto"/>
              <w:ind w:left="0"/>
            </w:pPr>
            <w:r>
              <w:t>Victor Monzón</w:t>
            </w:r>
          </w:p>
        </w:tc>
        <w:tc>
          <w:tcPr>
            <w:tcW w:w="1984" w:type="dxa"/>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Universidad Católica del Maule</w:t>
            </w:r>
          </w:p>
        </w:tc>
        <w:tc>
          <w:tcPr>
            <w:tcW w:w="3686" w:type="dxa"/>
            <w:tcMar>
              <w:top w:w="0" w:type="dxa"/>
              <w:left w:w="108" w:type="dxa"/>
              <w:bottom w:w="0" w:type="dxa"/>
              <w:right w:w="108" w:type="dxa"/>
            </w:tcMar>
          </w:tcPr>
          <w:p w:rsidR="007156ED" w:rsidRDefault="007156ED" w:rsidP="007156ED">
            <w:pPr>
              <w:pStyle w:val="Prrafodelista"/>
              <w:spacing w:after="0"/>
              <w:ind w:left="0"/>
            </w:pPr>
            <w:r>
              <w:t>Representante del operador</w:t>
            </w:r>
          </w:p>
        </w:tc>
        <w:tc>
          <w:tcPr>
            <w:tcW w:w="2551" w:type="dxa"/>
            <w:tcMar>
              <w:top w:w="0" w:type="dxa"/>
              <w:left w:w="108" w:type="dxa"/>
              <w:bottom w:w="0" w:type="dxa"/>
              <w:right w:w="108" w:type="dxa"/>
            </w:tcMar>
          </w:tcPr>
          <w:p w:rsidR="007156ED" w:rsidRDefault="007156ED" w:rsidP="007156ED">
            <w:pPr>
              <w:pStyle w:val="Prrafodelista"/>
              <w:spacing w:after="0" w:line="252" w:lineRule="auto"/>
              <w:ind w:left="0"/>
            </w:pPr>
            <w:r>
              <w:t>Universidad Católica del Maule</w:t>
            </w:r>
          </w:p>
        </w:tc>
      </w:tr>
      <w:tr w:rsidR="007156ED" w:rsidRPr="00503D17" w:rsidTr="002D3D5F">
        <w:trPr>
          <w:trHeight w:val="222"/>
        </w:trPr>
        <w:tc>
          <w:tcPr>
            <w:tcW w:w="1702" w:type="dxa"/>
            <w:tcMar>
              <w:top w:w="0" w:type="dxa"/>
              <w:left w:w="108" w:type="dxa"/>
              <w:bottom w:w="0" w:type="dxa"/>
              <w:right w:w="108" w:type="dxa"/>
            </w:tcMar>
          </w:tcPr>
          <w:p w:rsidR="007156ED" w:rsidRDefault="007156ED" w:rsidP="007156ED">
            <w:pPr>
              <w:pStyle w:val="Prrafodelista"/>
              <w:spacing w:after="0" w:line="252" w:lineRule="auto"/>
              <w:ind w:left="0"/>
            </w:pPr>
            <w:r>
              <w:t xml:space="preserve">Guillermo </w:t>
            </w:r>
            <w:proofErr w:type="spellStart"/>
            <w:r>
              <w:t>Peters</w:t>
            </w:r>
            <w:proofErr w:type="spellEnd"/>
          </w:p>
        </w:tc>
        <w:tc>
          <w:tcPr>
            <w:tcW w:w="1984" w:type="dxa"/>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 xml:space="preserve">Cámara de Turismo y comercio de </w:t>
            </w:r>
            <w:proofErr w:type="spellStart"/>
            <w:r>
              <w:rPr>
                <w:b/>
                <w:bCs/>
              </w:rPr>
              <w:t>Pelluhue</w:t>
            </w:r>
            <w:proofErr w:type="spellEnd"/>
          </w:p>
        </w:tc>
        <w:tc>
          <w:tcPr>
            <w:tcW w:w="3686" w:type="dxa"/>
            <w:tcMar>
              <w:top w:w="0" w:type="dxa"/>
              <w:left w:w="108" w:type="dxa"/>
              <w:bottom w:w="0" w:type="dxa"/>
              <w:right w:w="108" w:type="dxa"/>
            </w:tcMar>
          </w:tcPr>
          <w:p w:rsidR="007156ED" w:rsidRDefault="007156ED" w:rsidP="007156ED">
            <w:pPr>
              <w:pStyle w:val="Prrafodelista"/>
              <w:spacing w:after="0"/>
              <w:ind w:left="0"/>
            </w:pPr>
            <w:r>
              <w:t>Relación con la industria turística costera</w:t>
            </w:r>
          </w:p>
        </w:tc>
        <w:tc>
          <w:tcPr>
            <w:tcW w:w="2551" w:type="dxa"/>
            <w:tcMar>
              <w:top w:w="0" w:type="dxa"/>
              <w:left w:w="108" w:type="dxa"/>
              <w:bottom w:w="0" w:type="dxa"/>
              <w:right w:w="108" w:type="dxa"/>
            </w:tcMar>
          </w:tcPr>
          <w:p w:rsidR="007156ED" w:rsidRDefault="007156ED" w:rsidP="007156ED">
            <w:pPr>
              <w:pStyle w:val="Prrafodelista"/>
              <w:spacing w:after="0" w:line="252" w:lineRule="auto"/>
              <w:ind w:left="0"/>
            </w:pPr>
            <w:proofErr w:type="spellStart"/>
            <w:r>
              <w:t>Pelluhue</w:t>
            </w:r>
            <w:proofErr w:type="spellEnd"/>
            <w:r>
              <w:t xml:space="preserve"> / Chanco</w:t>
            </w:r>
          </w:p>
        </w:tc>
      </w:tr>
      <w:tr w:rsidR="007156ED" w:rsidRPr="00503D17" w:rsidTr="002D3D5F">
        <w:trPr>
          <w:trHeight w:val="222"/>
        </w:trPr>
        <w:tc>
          <w:tcPr>
            <w:tcW w:w="1702" w:type="dxa"/>
            <w:tcMar>
              <w:top w:w="0" w:type="dxa"/>
              <w:left w:w="108" w:type="dxa"/>
              <w:bottom w:w="0" w:type="dxa"/>
              <w:right w:w="108" w:type="dxa"/>
            </w:tcMar>
          </w:tcPr>
          <w:p w:rsidR="007156ED" w:rsidRDefault="007156ED" w:rsidP="007156ED">
            <w:pPr>
              <w:pStyle w:val="Prrafodelista"/>
              <w:spacing w:after="0" w:line="252" w:lineRule="auto"/>
              <w:ind w:left="0"/>
            </w:pPr>
            <w:r>
              <w:t>Cesar Valdés</w:t>
            </w:r>
          </w:p>
        </w:tc>
        <w:tc>
          <w:tcPr>
            <w:tcW w:w="1984" w:type="dxa"/>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Cámara de Comercio e Industrias de Cauquenes.</w:t>
            </w:r>
          </w:p>
        </w:tc>
        <w:tc>
          <w:tcPr>
            <w:tcW w:w="3686" w:type="dxa"/>
            <w:tcMar>
              <w:top w:w="0" w:type="dxa"/>
              <w:left w:w="108" w:type="dxa"/>
              <w:bottom w:w="0" w:type="dxa"/>
              <w:right w:w="108" w:type="dxa"/>
            </w:tcMar>
          </w:tcPr>
          <w:p w:rsidR="007156ED" w:rsidRDefault="007156ED" w:rsidP="007156ED">
            <w:pPr>
              <w:pStyle w:val="Prrafodelista"/>
              <w:spacing w:after="0"/>
              <w:ind w:left="0"/>
            </w:pPr>
            <w:r>
              <w:t>Relación con el comercio detallista y emprendimiento industrial de la provincia.</w:t>
            </w:r>
          </w:p>
        </w:tc>
        <w:tc>
          <w:tcPr>
            <w:tcW w:w="2551" w:type="dxa"/>
            <w:tcMar>
              <w:top w:w="0" w:type="dxa"/>
              <w:left w:w="108" w:type="dxa"/>
              <w:bottom w:w="0" w:type="dxa"/>
              <w:right w:w="108" w:type="dxa"/>
            </w:tcMar>
          </w:tcPr>
          <w:p w:rsidR="007156ED" w:rsidRDefault="007156ED" w:rsidP="007156ED">
            <w:pPr>
              <w:pStyle w:val="Prrafodelista"/>
              <w:spacing w:after="0" w:line="252" w:lineRule="auto"/>
              <w:ind w:left="0"/>
            </w:pPr>
            <w:r>
              <w:t>Cauquenes</w:t>
            </w:r>
          </w:p>
        </w:tc>
      </w:tr>
      <w:tr w:rsidR="007156ED" w:rsidRPr="00503D17" w:rsidTr="002D3D5F">
        <w:trPr>
          <w:trHeight w:val="222"/>
        </w:trPr>
        <w:tc>
          <w:tcPr>
            <w:tcW w:w="1702" w:type="dxa"/>
            <w:tcMar>
              <w:top w:w="0" w:type="dxa"/>
              <w:left w:w="108" w:type="dxa"/>
              <w:bottom w:w="0" w:type="dxa"/>
              <w:right w:w="108" w:type="dxa"/>
            </w:tcMar>
          </w:tcPr>
          <w:p w:rsidR="007156ED" w:rsidRDefault="007156ED" w:rsidP="007156ED">
            <w:pPr>
              <w:pStyle w:val="Prrafodelista"/>
              <w:spacing w:after="0" w:line="252" w:lineRule="auto"/>
              <w:ind w:left="0"/>
            </w:pPr>
            <w:r>
              <w:t>Felipe Zúñiga</w:t>
            </w:r>
          </w:p>
        </w:tc>
        <w:tc>
          <w:tcPr>
            <w:tcW w:w="1984" w:type="dxa"/>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Asociación Gremial Vid Seca</w:t>
            </w:r>
          </w:p>
        </w:tc>
        <w:tc>
          <w:tcPr>
            <w:tcW w:w="3686" w:type="dxa"/>
            <w:tcMar>
              <w:top w:w="0" w:type="dxa"/>
              <w:left w:w="108" w:type="dxa"/>
              <w:bottom w:w="0" w:type="dxa"/>
              <w:right w:w="108" w:type="dxa"/>
            </w:tcMar>
          </w:tcPr>
          <w:p w:rsidR="007156ED" w:rsidRDefault="007156ED" w:rsidP="007156ED">
            <w:pPr>
              <w:pStyle w:val="Prrafodelista"/>
              <w:spacing w:after="0"/>
              <w:ind w:left="0"/>
            </w:pPr>
            <w:r>
              <w:t>Relación con los productores locales de vinos y vid vinífera</w:t>
            </w:r>
          </w:p>
        </w:tc>
        <w:tc>
          <w:tcPr>
            <w:tcW w:w="2551" w:type="dxa"/>
            <w:tcMar>
              <w:top w:w="0" w:type="dxa"/>
              <w:left w:w="108" w:type="dxa"/>
              <w:bottom w:w="0" w:type="dxa"/>
              <w:right w:w="108" w:type="dxa"/>
            </w:tcMar>
          </w:tcPr>
          <w:p w:rsidR="007156ED" w:rsidRDefault="007156ED" w:rsidP="007156ED">
            <w:pPr>
              <w:pStyle w:val="Prrafodelista"/>
              <w:spacing w:after="0" w:line="252" w:lineRule="auto"/>
              <w:ind w:left="0"/>
            </w:pPr>
            <w:r>
              <w:t>Cauquenes</w:t>
            </w:r>
          </w:p>
        </w:tc>
      </w:tr>
      <w:tr w:rsidR="007156ED" w:rsidRPr="00503D17" w:rsidTr="005B45FD">
        <w:trPr>
          <w:trHeight w:val="274"/>
        </w:trPr>
        <w:tc>
          <w:tcPr>
            <w:tcW w:w="1702" w:type="dxa"/>
            <w:tcMar>
              <w:top w:w="0" w:type="dxa"/>
              <w:left w:w="108" w:type="dxa"/>
              <w:bottom w:w="0" w:type="dxa"/>
              <w:right w:w="108" w:type="dxa"/>
            </w:tcMar>
          </w:tcPr>
          <w:p w:rsidR="007156ED" w:rsidRDefault="007156ED" w:rsidP="007156ED">
            <w:pPr>
              <w:pStyle w:val="Prrafodelista"/>
              <w:spacing w:after="0" w:line="252" w:lineRule="auto"/>
              <w:ind w:left="0"/>
            </w:pPr>
            <w:r>
              <w:t xml:space="preserve">Edmundo </w:t>
            </w:r>
            <w:r>
              <w:lastRenderedPageBreak/>
              <w:t>Aravena Jaque</w:t>
            </w:r>
          </w:p>
        </w:tc>
        <w:tc>
          <w:tcPr>
            <w:tcW w:w="1984" w:type="dxa"/>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lastRenderedPageBreak/>
              <w:t xml:space="preserve">Asociación de </w:t>
            </w:r>
            <w:r>
              <w:rPr>
                <w:b/>
                <w:bCs/>
              </w:rPr>
              <w:lastRenderedPageBreak/>
              <w:t xml:space="preserve">regantes de </w:t>
            </w:r>
            <w:proofErr w:type="spellStart"/>
            <w:r>
              <w:rPr>
                <w:b/>
                <w:bCs/>
              </w:rPr>
              <w:t>Tutuven</w:t>
            </w:r>
            <w:proofErr w:type="spellEnd"/>
          </w:p>
        </w:tc>
        <w:tc>
          <w:tcPr>
            <w:tcW w:w="3686" w:type="dxa"/>
            <w:tcMar>
              <w:top w:w="0" w:type="dxa"/>
              <w:left w:w="108" w:type="dxa"/>
              <w:bottom w:w="0" w:type="dxa"/>
              <w:right w:w="108" w:type="dxa"/>
            </w:tcMar>
          </w:tcPr>
          <w:p w:rsidR="007156ED" w:rsidRDefault="007156ED" w:rsidP="007156ED">
            <w:pPr>
              <w:pStyle w:val="Prrafodelista"/>
              <w:spacing w:after="0"/>
              <w:ind w:left="0"/>
            </w:pPr>
            <w:r>
              <w:lastRenderedPageBreak/>
              <w:t xml:space="preserve">Relación con los intereses del sector </w:t>
            </w:r>
            <w:r>
              <w:lastRenderedPageBreak/>
              <w:t>agrícola de la provincia.</w:t>
            </w:r>
          </w:p>
        </w:tc>
        <w:tc>
          <w:tcPr>
            <w:tcW w:w="2551" w:type="dxa"/>
            <w:tcMar>
              <w:top w:w="0" w:type="dxa"/>
              <w:left w:w="108" w:type="dxa"/>
              <w:bottom w:w="0" w:type="dxa"/>
              <w:right w:w="108" w:type="dxa"/>
            </w:tcMar>
          </w:tcPr>
          <w:p w:rsidR="007156ED" w:rsidRDefault="007156ED" w:rsidP="007156ED">
            <w:pPr>
              <w:pStyle w:val="Prrafodelista"/>
              <w:spacing w:after="0" w:line="252" w:lineRule="auto"/>
              <w:ind w:left="0"/>
            </w:pPr>
            <w:r>
              <w:lastRenderedPageBreak/>
              <w:t>Cauquenes / Chanco</w:t>
            </w:r>
          </w:p>
        </w:tc>
      </w:tr>
    </w:tbl>
    <w:p w:rsidR="00965B22" w:rsidRDefault="00965B22" w:rsidP="00B0533C">
      <w:pPr>
        <w:spacing w:after="0"/>
        <w:rPr>
          <w:b/>
        </w:rPr>
      </w:pPr>
    </w:p>
    <w:p w:rsidR="00B0533C" w:rsidRDefault="00B0533C" w:rsidP="00B0533C">
      <w:pPr>
        <w:spacing w:after="0"/>
        <w:rPr>
          <w:b/>
        </w:rPr>
      </w:pPr>
    </w:p>
    <w:p w:rsidR="000F5D06" w:rsidRDefault="000F5D06" w:rsidP="00B0533C">
      <w:pPr>
        <w:spacing w:after="0"/>
        <w:rPr>
          <w:b/>
        </w:rPr>
      </w:pPr>
    </w:p>
    <w:p w:rsidR="001E0BF5" w:rsidRPr="006E3993" w:rsidRDefault="001E0BF5" w:rsidP="001E0BF5">
      <w:pPr>
        <w:pStyle w:val="Prrafodelista"/>
        <w:numPr>
          <w:ilvl w:val="0"/>
          <w:numId w:val="1"/>
        </w:numPr>
        <w:jc w:val="both"/>
        <w:rPr>
          <w:b/>
        </w:rPr>
      </w:pPr>
      <w:r w:rsidRPr="00503D17">
        <w:rPr>
          <w:b/>
        </w:rPr>
        <w:t xml:space="preserve">Equipo de trabajo: </w:t>
      </w:r>
      <w:r w:rsidRPr="00503D17">
        <w:t>El equipo de trabajo estará compuesto por los siguientes profesionales, en caso de cualquier modificación esta deberá ser informada y aprobada por Sercotec.</w:t>
      </w:r>
    </w:p>
    <w:tbl>
      <w:tblPr>
        <w:tblW w:w="9606" w:type="dxa"/>
        <w:tblCellMar>
          <w:left w:w="0" w:type="dxa"/>
          <w:right w:w="0" w:type="dxa"/>
        </w:tblCellMar>
        <w:tblLook w:val="04A0" w:firstRow="1" w:lastRow="0" w:firstColumn="1" w:lastColumn="0" w:noHBand="0" w:noVBand="1"/>
      </w:tblPr>
      <w:tblGrid>
        <w:gridCol w:w="2235"/>
        <w:gridCol w:w="3402"/>
        <w:gridCol w:w="1984"/>
        <w:gridCol w:w="1985"/>
      </w:tblGrid>
      <w:tr w:rsidR="00C6570D" w:rsidRPr="00C6570D" w:rsidTr="00147E43">
        <w:trPr>
          <w:trHeight w:val="514"/>
        </w:trPr>
        <w:tc>
          <w:tcPr>
            <w:tcW w:w="22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6570D" w:rsidRPr="00C6570D" w:rsidRDefault="00C6570D" w:rsidP="00C6570D">
            <w:pPr>
              <w:spacing w:after="0" w:line="240" w:lineRule="auto"/>
              <w:rPr>
                <w:rFonts w:eastAsiaTheme="minorEastAsia" w:cs="Times New Roman"/>
                <w:b/>
                <w:bCs/>
                <w:lang w:eastAsia="es-CL"/>
              </w:rPr>
            </w:pPr>
            <w:r w:rsidRPr="00C6570D">
              <w:rPr>
                <w:rFonts w:eastAsiaTheme="minorEastAsia" w:cs="Times New Roman"/>
                <w:b/>
                <w:bCs/>
                <w:lang w:eastAsia="es-CL"/>
              </w:rPr>
              <w:t xml:space="preserve">Cargo </w:t>
            </w:r>
          </w:p>
        </w:tc>
        <w:tc>
          <w:tcPr>
            <w:tcW w:w="34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C6570D" w:rsidRPr="00C6570D" w:rsidRDefault="00C6570D" w:rsidP="00C6570D">
            <w:pPr>
              <w:spacing w:after="0" w:line="240" w:lineRule="auto"/>
              <w:rPr>
                <w:rFonts w:eastAsiaTheme="minorEastAsia" w:cs="Times New Roman"/>
                <w:b/>
                <w:bCs/>
                <w:lang w:eastAsia="es-CL"/>
              </w:rPr>
            </w:pPr>
            <w:r w:rsidRPr="00C6570D">
              <w:rPr>
                <w:rFonts w:eastAsiaTheme="minorEastAsia" w:cs="Times New Roman"/>
                <w:b/>
                <w:bCs/>
                <w:lang w:eastAsia="es-CL"/>
              </w:rPr>
              <w:t>Nombre del profesional</w:t>
            </w:r>
          </w:p>
        </w:tc>
        <w:tc>
          <w:tcPr>
            <w:tcW w:w="1984"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rsidR="00C6570D" w:rsidRPr="00C6570D" w:rsidRDefault="00C6570D" w:rsidP="00C6570D">
            <w:pPr>
              <w:spacing w:after="0" w:line="240" w:lineRule="auto"/>
              <w:rPr>
                <w:rFonts w:eastAsiaTheme="minorEastAsia" w:cs="Times New Roman"/>
                <w:b/>
                <w:bCs/>
                <w:lang w:eastAsia="es-CL"/>
              </w:rPr>
            </w:pPr>
            <w:r w:rsidRPr="00C6570D">
              <w:rPr>
                <w:rFonts w:eastAsiaTheme="minorEastAsia" w:cs="Times New Roman"/>
                <w:b/>
                <w:bCs/>
                <w:lang w:eastAsia="es-CL"/>
              </w:rPr>
              <w:t>Fecha de contrato (Día/ Mes/ año)</w:t>
            </w:r>
          </w:p>
        </w:tc>
        <w:tc>
          <w:tcPr>
            <w:tcW w:w="1985"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C6570D" w:rsidRPr="00C6570D" w:rsidRDefault="00965B22" w:rsidP="00C6570D">
            <w:pPr>
              <w:spacing w:after="0" w:line="240" w:lineRule="auto"/>
              <w:rPr>
                <w:rFonts w:eastAsiaTheme="minorEastAsia" w:cs="Times New Roman"/>
                <w:b/>
                <w:bCs/>
                <w:lang w:eastAsia="es-CL"/>
              </w:rPr>
            </w:pPr>
            <w:r>
              <w:rPr>
                <w:rFonts w:eastAsiaTheme="minorEastAsia" w:cs="Times New Roman"/>
                <w:b/>
                <w:bCs/>
                <w:lang w:eastAsia="es-CL"/>
              </w:rPr>
              <w:t>Fecha de renuncia (</w:t>
            </w:r>
            <w:r w:rsidR="00C6570D" w:rsidRPr="00C6570D">
              <w:rPr>
                <w:rFonts w:eastAsiaTheme="minorEastAsia" w:cs="Times New Roman"/>
                <w:b/>
                <w:bCs/>
                <w:lang w:eastAsia="es-CL"/>
              </w:rPr>
              <w:t>Día/Mes/ año)</w:t>
            </w:r>
          </w:p>
        </w:tc>
      </w:tr>
      <w:tr w:rsidR="007156ED" w:rsidRPr="00C6570D" w:rsidTr="00147E43">
        <w:trPr>
          <w:trHeight w:val="312"/>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rPr>
                <w:b/>
                <w:bCs/>
              </w:rPr>
              <w:t>Director/a</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t>Rodrigo Alfonso Uribe Castillo</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t>01/09/2016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t>N/A</w:t>
            </w:r>
          </w:p>
        </w:tc>
      </w:tr>
      <w:tr w:rsidR="007156ED" w:rsidRPr="00C6570D" w:rsidTr="00147E43">
        <w:trPr>
          <w:trHeight w:val="318"/>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Asesor Sénior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156ED" w:rsidRDefault="000B5EEA" w:rsidP="000B5EEA">
            <w:pPr>
              <w:pStyle w:val="Prrafodelista"/>
              <w:spacing w:after="0" w:line="252" w:lineRule="auto"/>
              <w:ind w:left="0"/>
            </w:pPr>
            <w:r>
              <w:t xml:space="preserve">Oscar Tito </w:t>
            </w:r>
            <w:proofErr w:type="spellStart"/>
            <w:r>
              <w:t>Belmar</w:t>
            </w:r>
            <w:proofErr w:type="spellEnd"/>
            <w:r>
              <w:t xml:space="preserve"> Yáñez</w:t>
            </w:r>
            <w: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156ED" w:rsidRDefault="00147E43" w:rsidP="000B5EEA">
            <w:pPr>
              <w:pStyle w:val="Prrafodelista"/>
              <w:spacing w:after="0" w:line="252" w:lineRule="auto"/>
              <w:ind w:left="0"/>
            </w:pPr>
            <w:r>
              <w:t>0</w:t>
            </w:r>
            <w:r w:rsidR="000B5EEA">
              <w:t>3</w:t>
            </w:r>
            <w:r>
              <w:t>/10/2016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spacing w:after="0"/>
            </w:pPr>
            <w:r w:rsidRPr="00755636">
              <w:t>N/A</w:t>
            </w:r>
          </w:p>
        </w:tc>
      </w:tr>
      <w:tr w:rsidR="007156ED" w:rsidRPr="00C6570D" w:rsidTr="00147E43">
        <w:trPr>
          <w:trHeight w:val="318"/>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rPr>
                <w:b/>
                <w:bCs/>
              </w:rPr>
              <w:t>Asesor Junior</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156ED" w:rsidRDefault="000B5EEA" w:rsidP="007156ED">
            <w:pPr>
              <w:pStyle w:val="Prrafodelista"/>
              <w:spacing w:after="0" w:line="252" w:lineRule="auto"/>
              <w:ind w:left="0"/>
            </w:pPr>
            <w:r>
              <w:t xml:space="preserve">Nicolás </w:t>
            </w:r>
            <w:proofErr w:type="spellStart"/>
            <w:r>
              <w:t>Cancino</w:t>
            </w:r>
            <w:proofErr w:type="spellEnd"/>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0B5EEA">
            <w:pPr>
              <w:pStyle w:val="Prrafodelista"/>
              <w:spacing w:after="0" w:line="252" w:lineRule="auto"/>
              <w:ind w:left="0"/>
            </w:pPr>
            <w:r>
              <w:t>01/</w:t>
            </w:r>
            <w:r w:rsidR="000B5EEA">
              <w:t>10/2016</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spacing w:after="0"/>
            </w:pPr>
            <w:r w:rsidRPr="00755636">
              <w:t>N/A</w:t>
            </w:r>
          </w:p>
        </w:tc>
      </w:tr>
      <w:tr w:rsidR="00147E43" w:rsidRPr="00C6570D" w:rsidTr="00147E43">
        <w:trPr>
          <w:trHeight w:val="318"/>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7E43" w:rsidRDefault="00147E43" w:rsidP="007156ED">
            <w:pPr>
              <w:pStyle w:val="Prrafodelista"/>
              <w:spacing w:after="0" w:line="252" w:lineRule="auto"/>
              <w:ind w:left="0"/>
              <w:rPr>
                <w:b/>
                <w:bCs/>
              </w:rPr>
            </w:pPr>
            <w:r>
              <w:rPr>
                <w:b/>
                <w:bCs/>
              </w:rPr>
              <w:t>Asistente ejecutivo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47E43" w:rsidRDefault="000F2330" w:rsidP="000F2330">
            <w:pPr>
              <w:pStyle w:val="Prrafodelista"/>
              <w:spacing w:after="0" w:line="252" w:lineRule="auto"/>
              <w:ind w:left="0"/>
            </w:pPr>
            <w:r>
              <w:t xml:space="preserve">Por Definir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147E43" w:rsidRDefault="000F2330" w:rsidP="007156ED">
            <w:pPr>
              <w:pStyle w:val="Prrafodelista"/>
              <w:spacing w:after="0" w:line="252" w:lineRule="auto"/>
              <w:ind w:left="0"/>
            </w:pPr>
            <w:r w:rsidRPr="000F2330">
              <w:t>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147E43" w:rsidRPr="00755636" w:rsidRDefault="00147E43" w:rsidP="007156ED">
            <w:pPr>
              <w:spacing w:after="0"/>
            </w:pPr>
            <w:r>
              <w:t>N/A</w:t>
            </w:r>
          </w:p>
        </w:tc>
      </w:tr>
      <w:tr w:rsidR="007156ED" w:rsidRPr="00C6570D" w:rsidTr="00147E43">
        <w:trPr>
          <w:trHeight w:val="252"/>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rPr>
                <w:b/>
                <w:bCs/>
              </w:rPr>
            </w:pPr>
            <w:r>
              <w:rPr>
                <w:b/>
                <w:bCs/>
              </w:rPr>
              <w:t>Asistente Administrativo</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t>Carolina del Carmen Parra Hernández</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pStyle w:val="Prrafodelista"/>
              <w:spacing w:after="0" w:line="252" w:lineRule="auto"/>
              <w:ind w:left="0"/>
            </w:pPr>
            <w:r>
              <w:t>21/12/2015</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156ED" w:rsidRDefault="007156ED" w:rsidP="007156ED">
            <w:pPr>
              <w:spacing w:after="0"/>
            </w:pPr>
            <w:r w:rsidRPr="00755636">
              <w:t>N/A</w:t>
            </w:r>
          </w:p>
        </w:tc>
      </w:tr>
    </w:tbl>
    <w:p w:rsidR="00965B22" w:rsidRDefault="00965B22" w:rsidP="00965B22">
      <w:pPr>
        <w:pStyle w:val="Prrafodelista"/>
        <w:jc w:val="both"/>
        <w:rPr>
          <w:b/>
        </w:rPr>
      </w:pPr>
    </w:p>
    <w:p w:rsidR="001E0BF5" w:rsidRPr="00503D17" w:rsidRDefault="001E0BF5" w:rsidP="001E0BF5">
      <w:pPr>
        <w:pStyle w:val="Prrafodelista"/>
        <w:numPr>
          <w:ilvl w:val="0"/>
          <w:numId w:val="1"/>
        </w:numPr>
        <w:jc w:val="both"/>
        <w:rPr>
          <w:b/>
        </w:rPr>
      </w:pPr>
      <w:r w:rsidRPr="00503D17">
        <w:rPr>
          <w:b/>
        </w:rPr>
        <w:t xml:space="preserve">Indicadores: </w:t>
      </w:r>
      <w:r w:rsidRPr="00503D17">
        <w:t>Los indicadores se encuentran aprobados y serán parte del acuerdo de desempeño.</w:t>
      </w:r>
    </w:p>
    <w:tbl>
      <w:tblPr>
        <w:tblStyle w:val="Tablaconcuadrcula"/>
        <w:tblW w:w="9640" w:type="dxa"/>
        <w:tblInd w:w="-34" w:type="dxa"/>
        <w:tblLook w:val="04A0" w:firstRow="1" w:lastRow="0" w:firstColumn="1" w:lastColumn="0" w:noHBand="0" w:noVBand="1"/>
      </w:tblPr>
      <w:tblGrid>
        <w:gridCol w:w="1702"/>
        <w:gridCol w:w="6804"/>
        <w:gridCol w:w="1134"/>
      </w:tblGrid>
      <w:tr w:rsidR="001E0BF5" w:rsidRPr="00503D17" w:rsidTr="00103125">
        <w:tc>
          <w:tcPr>
            <w:tcW w:w="1702" w:type="dxa"/>
            <w:vAlign w:val="center"/>
          </w:tcPr>
          <w:p w:rsidR="001E0BF5" w:rsidRPr="00503D17" w:rsidRDefault="001E0BF5" w:rsidP="00940E76">
            <w:pPr>
              <w:jc w:val="center"/>
              <w:rPr>
                <w:rFonts w:eastAsia="Times New Roman" w:cs="Arial"/>
                <w:b/>
                <w:bCs/>
                <w:color w:val="000000"/>
                <w:lang w:eastAsia="es-CL"/>
              </w:rPr>
            </w:pPr>
            <w:r w:rsidRPr="00503D17">
              <w:rPr>
                <w:rFonts w:eastAsia="Times New Roman" w:cs="Arial"/>
                <w:b/>
                <w:bCs/>
                <w:color w:val="000000"/>
                <w:lang w:eastAsia="es-CL"/>
              </w:rPr>
              <w:t>INDICADOR</w:t>
            </w:r>
          </w:p>
        </w:tc>
        <w:tc>
          <w:tcPr>
            <w:tcW w:w="6804" w:type="dxa"/>
            <w:vAlign w:val="center"/>
          </w:tcPr>
          <w:p w:rsidR="001E0BF5" w:rsidRPr="00503D17" w:rsidRDefault="001E0BF5" w:rsidP="00940E76">
            <w:pPr>
              <w:jc w:val="center"/>
              <w:rPr>
                <w:rFonts w:eastAsia="Times New Roman" w:cs="Arial"/>
                <w:b/>
                <w:color w:val="000000"/>
                <w:lang w:eastAsia="es-CL"/>
              </w:rPr>
            </w:pPr>
            <w:r w:rsidRPr="00503D17">
              <w:rPr>
                <w:rFonts w:eastAsia="Times New Roman" w:cs="Arial"/>
                <w:b/>
                <w:color w:val="000000"/>
                <w:lang w:eastAsia="es-CL"/>
              </w:rPr>
              <w:t>DESCRIPCIÓN</w:t>
            </w:r>
          </w:p>
        </w:tc>
        <w:tc>
          <w:tcPr>
            <w:tcW w:w="1134" w:type="dxa"/>
            <w:vAlign w:val="center"/>
          </w:tcPr>
          <w:p w:rsidR="001E0BF5" w:rsidRPr="00503D17" w:rsidRDefault="001E0BF5" w:rsidP="00940E76">
            <w:pPr>
              <w:jc w:val="center"/>
              <w:rPr>
                <w:rFonts w:eastAsia="Times New Roman" w:cs="Arial"/>
                <w:b/>
                <w:lang w:eastAsia="es-CL"/>
              </w:rPr>
            </w:pPr>
            <w:r w:rsidRPr="00503D17">
              <w:rPr>
                <w:rFonts w:eastAsia="Times New Roman" w:cs="Arial"/>
                <w:b/>
                <w:lang w:eastAsia="es-CL"/>
              </w:rPr>
              <w:t>META</w:t>
            </w:r>
          </w:p>
        </w:tc>
      </w:tr>
      <w:tr w:rsidR="001E0BF5" w:rsidRPr="00503D17" w:rsidTr="00103125">
        <w:tc>
          <w:tcPr>
            <w:tcW w:w="1702" w:type="dxa"/>
            <w:vAlign w:val="center"/>
          </w:tcPr>
          <w:p w:rsidR="001E0BF5" w:rsidRPr="00503D17" w:rsidRDefault="001E0BF5" w:rsidP="00940E76">
            <w:pPr>
              <w:jc w:val="center"/>
              <w:rPr>
                <w:rFonts w:eastAsia="Times New Roman" w:cs="Arial"/>
                <w:b/>
                <w:bCs/>
                <w:color w:val="000000"/>
                <w:lang w:eastAsia="es-CL"/>
              </w:rPr>
            </w:pPr>
            <w:r w:rsidRPr="00503D17">
              <w:rPr>
                <w:rFonts w:eastAsia="Times New Roman" w:cs="Arial"/>
                <w:b/>
                <w:bCs/>
                <w:color w:val="000000"/>
                <w:lang w:eastAsia="es-CL"/>
              </w:rPr>
              <w:t>N° total de clientes asesorados en periodo de medición.</w:t>
            </w:r>
          </w:p>
        </w:tc>
        <w:tc>
          <w:tcPr>
            <w:tcW w:w="6804" w:type="dxa"/>
            <w:vAlign w:val="center"/>
          </w:tcPr>
          <w:p w:rsidR="009104D0"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Se contabiliza como asesorados aquellos clientes que hayan asistido a la reunión inicial durante el periodo de medición.</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Se considera el periodo de medición aquel establecido en el Acuerdo de Desempeño.</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 xml:space="preserve">Nota: este indicador considera los clientes asesorados en el Centro por el director y los respectivos asesores junior y </w:t>
            </w:r>
            <w:r w:rsidR="00CD0C63" w:rsidRPr="00503D17">
              <w:rPr>
                <w:rFonts w:eastAsia="Times New Roman" w:cs="Arial"/>
                <w:color w:val="000000"/>
                <w:sz w:val="18"/>
                <w:lang w:eastAsia="es-CL"/>
              </w:rPr>
              <w:t>sénior</w:t>
            </w:r>
            <w:r w:rsidRPr="00503D17">
              <w:rPr>
                <w:rFonts w:eastAsia="Times New Roman" w:cs="Arial"/>
                <w:color w:val="000000"/>
                <w:sz w:val="18"/>
                <w:lang w:eastAsia="es-CL"/>
              </w:rPr>
              <w:t>.</w:t>
            </w:r>
          </w:p>
          <w:p w:rsidR="001E0BF5" w:rsidRPr="00503D17" w:rsidRDefault="001E0BF5" w:rsidP="00CD0C63">
            <w:pPr>
              <w:jc w:val="both"/>
              <w:rPr>
                <w:rFonts w:eastAsia="Times New Roman" w:cs="Arial"/>
                <w:color w:val="000000"/>
                <w:lang w:eastAsia="es-CL"/>
              </w:rPr>
            </w:pPr>
            <w:r w:rsidRPr="00503D17">
              <w:rPr>
                <w:rFonts w:eastAsia="Times New Roman" w:cs="Arial"/>
                <w:color w:val="000000"/>
                <w:sz w:val="18"/>
                <w:lang w:eastAsia="es-CL"/>
              </w:rPr>
              <w:t>Se mide considerando el registro de la sesión inicial en Neoserra, como cliente único.</w:t>
            </w:r>
          </w:p>
        </w:tc>
        <w:tc>
          <w:tcPr>
            <w:tcW w:w="1134" w:type="dxa"/>
            <w:vAlign w:val="center"/>
          </w:tcPr>
          <w:p w:rsidR="001E0BF5" w:rsidRPr="00503D17" w:rsidRDefault="007156ED" w:rsidP="00940E76">
            <w:pPr>
              <w:jc w:val="center"/>
              <w:rPr>
                <w:rFonts w:eastAsia="Times New Roman" w:cs="Arial"/>
                <w:lang w:eastAsia="es-CL"/>
              </w:rPr>
            </w:pPr>
            <w:r>
              <w:rPr>
                <w:rFonts w:eastAsia="Times New Roman" w:cs="Arial"/>
                <w:lang w:eastAsia="es-CL"/>
              </w:rPr>
              <w:t>176</w:t>
            </w:r>
          </w:p>
        </w:tc>
      </w:tr>
      <w:tr w:rsidR="001E0BF5" w:rsidRPr="00503D17" w:rsidTr="00103125">
        <w:tc>
          <w:tcPr>
            <w:tcW w:w="1702" w:type="dxa"/>
            <w:vAlign w:val="center"/>
          </w:tcPr>
          <w:p w:rsidR="001E0BF5" w:rsidRPr="00503D17" w:rsidRDefault="001E0BF5" w:rsidP="00940E76">
            <w:pPr>
              <w:jc w:val="center"/>
              <w:rPr>
                <w:rFonts w:eastAsia="Times New Roman" w:cs="Arial"/>
                <w:b/>
                <w:bCs/>
                <w:color w:val="000000"/>
                <w:lang w:eastAsia="es-CL"/>
              </w:rPr>
            </w:pPr>
            <w:r w:rsidRPr="00503D17">
              <w:rPr>
                <w:rFonts w:eastAsia="Times New Roman" w:cs="Arial"/>
                <w:b/>
                <w:bCs/>
                <w:color w:val="000000"/>
                <w:lang w:eastAsia="es-CL"/>
              </w:rPr>
              <w:t>N° de empresas con aumento de ventas en el periodo de medición</w:t>
            </w:r>
          </w:p>
        </w:tc>
        <w:tc>
          <w:tcPr>
            <w:tcW w:w="6804" w:type="dxa"/>
            <w:vAlign w:val="center"/>
          </w:tcPr>
          <w:p w:rsidR="00220691"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Se mide a partir de la información entregada por el cliente en la reunión inicial (hito 1) y la declaración de ventas entregada por el cliente en la encuesta de impacto económico una vez finalizada la implementación de un plan de trabajo (hito 2). Es decir, es el cliente quien reconoce el impacto de la asesoría en sus ventas, respaldado además con algunos medios de verificación.</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Adicionalmente, y para seguimiento interno del CDN, el asesor del Centro podrá medir el aumento de ventas durante el periodo de asesoramiento y así maximizar la captura del impacto económico para el Centro.</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Para lo anteriormente descrito, se explicitan 3 fórmulas de cálculo de impacto en ventas:</w:t>
            </w:r>
          </w:p>
          <w:p w:rsidR="00CD0C63" w:rsidRPr="00503D17" w:rsidRDefault="001E0BF5" w:rsidP="00CD0C63">
            <w:pPr>
              <w:pStyle w:val="Prrafodelista"/>
              <w:numPr>
                <w:ilvl w:val="0"/>
                <w:numId w:val="4"/>
              </w:numPr>
              <w:jc w:val="both"/>
              <w:rPr>
                <w:rFonts w:eastAsia="Times New Roman" w:cs="Arial"/>
                <w:color w:val="000000"/>
                <w:sz w:val="18"/>
                <w:lang w:eastAsia="es-CL"/>
              </w:rPr>
            </w:pPr>
            <w:r w:rsidRPr="00503D17">
              <w:rPr>
                <w:rFonts w:eastAsia="Times New Roman" w:cs="Arial"/>
                <w:color w:val="000000"/>
                <w:sz w:val="18"/>
                <w:lang w:eastAsia="es-CL"/>
              </w:rPr>
              <w:t>Venta por mismo periodo añ</w:t>
            </w:r>
            <w:r w:rsidR="00CD0C63" w:rsidRPr="00503D17">
              <w:rPr>
                <w:rFonts w:eastAsia="Times New Roman" w:cs="Arial"/>
                <w:color w:val="000000"/>
                <w:sz w:val="18"/>
                <w:lang w:eastAsia="es-CL"/>
              </w:rPr>
              <w:t>o anterior y periodo actual.</w:t>
            </w:r>
          </w:p>
          <w:p w:rsidR="00CD0C63" w:rsidRPr="00503D17" w:rsidRDefault="001E0BF5" w:rsidP="00CD0C63">
            <w:pPr>
              <w:pStyle w:val="Prrafodelista"/>
              <w:numPr>
                <w:ilvl w:val="0"/>
                <w:numId w:val="4"/>
              </w:numPr>
              <w:jc w:val="both"/>
              <w:rPr>
                <w:rFonts w:eastAsia="Times New Roman" w:cs="Arial"/>
                <w:color w:val="000000"/>
                <w:sz w:val="18"/>
                <w:lang w:eastAsia="es-CL"/>
              </w:rPr>
            </w:pPr>
            <w:r w:rsidRPr="00503D17">
              <w:rPr>
                <w:rFonts w:eastAsia="Times New Roman" w:cs="Arial"/>
                <w:color w:val="000000"/>
                <w:sz w:val="18"/>
                <w:lang w:eastAsia="es-CL"/>
              </w:rPr>
              <w:t>Ventas antes y después de asesoría.</w:t>
            </w:r>
          </w:p>
          <w:p w:rsidR="00CD0C63" w:rsidRPr="00503D17" w:rsidRDefault="001E0BF5" w:rsidP="00CD0C63">
            <w:pPr>
              <w:pStyle w:val="Prrafodelista"/>
              <w:numPr>
                <w:ilvl w:val="0"/>
                <w:numId w:val="4"/>
              </w:numPr>
              <w:jc w:val="both"/>
              <w:rPr>
                <w:rFonts w:eastAsia="Times New Roman" w:cs="Arial"/>
                <w:color w:val="000000"/>
                <w:sz w:val="18"/>
                <w:lang w:eastAsia="es-CL"/>
              </w:rPr>
            </w:pPr>
            <w:r w:rsidRPr="00503D17">
              <w:rPr>
                <w:rFonts w:eastAsia="Times New Roman" w:cs="Arial"/>
                <w:color w:val="000000"/>
                <w:sz w:val="18"/>
                <w:lang w:eastAsia="es-CL"/>
              </w:rPr>
              <w:t>Venta promedio año anteri</w:t>
            </w:r>
            <w:r w:rsidR="00CD0C63" w:rsidRPr="00503D17">
              <w:rPr>
                <w:rFonts w:eastAsia="Times New Roman" w:cs="Arial"/>
                <w:color w:val="000000"/>
                <w:sz w:val="18"/>
                <w:lang w:eastAsia="es-CL"/>
              </w:rPr>
              <w:t>or y venta promedio año actual.</w:t>
            </w:r>
          </w:p>
          <w:p w:rsidR="001E0BF5" w:rsidRPr="00503D17" w:rsidRDefault="001E0BF5" w:rsidP="00CD0C63">
            <w:pPr>
              <w:jc w:val="both"/>
              <w:rPr>
                <w:rFonts w:eastAsia="Times New Roman" w:cs="Arial"/>
                <w:color w:val="000000"/>
                <w:lang w:eastAsia="es-CL"/>
              </w:rPr>
            </w:pPr>
            <w:r w:rsidRPr="00503D17">
              <w:rPr>
                <w:rFonts w:eastAsia="Times New Roman" w:cs="Arial"/>
                <w:color w:val="000000"/>
                <w:sz w:val="18"/>
                <w:lang w:eastAsia="es-CL"/>
              </w:rPr>
              <w:t>Se considera el periodo de medición aquel establecido en el Acuerdo de Desempeño.</w:t>
            </w:r>
          </w:p>
        </w:tc>
        <w:tc>
          <w:tcPr>
            <w:tcW w:w="1134" w:type="dxa"/>
            <w:vAlign w:val="center"/>
          </w:tcPr>
          <w:p w:rsidR="001E0BF5" w:rsidRPr="00503D17" w:rsidRDefault="00E03128" w:rsidP="00940E76">
            <w:pPr>
              <w:jc w:val="center"/>
              <w:rPr>
                <w:rFonts w:eastAsia="Times New Roman" w:cs="Arial"/>
                <w:lang w:eastAsia="es-CL"/>
              </w:rPr>
            </w:pPr>
            <w:r>
              <w:rPr>
                <w:rFonts w:eastAsia="Times New Roman" w:cs="Arial"/>
                <w:lang w:eastAsia="es-CL"/>
              </w:rPr>
              <w:t>44</w:t>
            </w:r>
          </w:p>
        </w:tc>
      </w:tr>
      <w:tr w:rsidR="001E0BF5" w:rsidRPr="00503D17" w:rsidTr="00103125">
        <w:tc>
          <w:tcPr>
            <w:tcW w:w="1702" w:type="dxa"/>
            <w:vAlign w:val="center"/>
          </w:tcPr>
          <w:p w:rsidR="001E0BF5" w:rsidRPr="00503D17" w:rsidRDefault="001E0BF5" w:rsidP="00940E76">
            <w:pPr>
              <w:jc w:val="center"/>
              <w:rPr>
                <w:rFonts w:eastAsia="Times New Roman" w:cs="Arial"/>
                <w:b/>
                <w:bCs/>
                <w:color w:val="000000"/>
                <w:lang w:eastAsia="es-CL"/>
              </w:rPr>
            </w:pPr>
            <w:r w:rsidRPr="00503D17">
              <w:rPr>
                <w:rFonts w:eastAsia="Times New Roman" w:cs="Arial"/>
                <w:b/>
                <w:bCs/>
                <w:color w:val="000000"/>
                <w:lang w:eastAsia="es-CL"/>
              </w:rPr>
              <w:t>N° de nuevos empleos formales generados</w:t>
            </w:r>
          </w:p>
        </w:tc>
        <w:tc>
          <w:tcPr>
            <w:tcW w:w="6804" w:type="dxa"/>
            <w:vAlign w:val="center"/>
          </w:tcPr>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 xml:space="preserve">Mide el número de empleos generados, ya sea indefinido, plazo fijo, honorarios, </w:t>
            </w:r>
            <w:proofErr w:type="spellStart"/>
            <w:r w:rsidRPr="00503D17">
              <w:rPr>
                <w:rFonts w:eastAsia="Times New Roman" w:cs="Arial"/>
                <w:color w:val="000000"/>
                <w:sz w:val="18"/>
                <w:lang w:eastAsia="es-CL"/>
              </w:rPr>
              <w:t>part</w:t>
            </w:r>
            <w:proofErr w:type="spellEnd"/>
            <w:r w:rsidRPr="00503D17">
              <w:rPr>
                <w:rFonts w:eastAsia="Times New Roman" w:cs="Arial"/>
                <w:color w:val="000000"/>
                <w:sz w:val="18"/>
                <w:lang w:eastAsia="es-CL"/>
              </w:rPr>
              <w:t xml:space="preserve"> time, tiempo completo, temporal, autoempleo, etc.</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Se mide a partir de la información entregada por el cliente  en la reunión inicial (hito 1) y la encuesta de impacto económico aplicada una vez finalizada la implementación del Plan de Trabajo (hito 2). Es decir, es el cliente quien reconoce el impacto de la asesoría en la contratación de nuevos trabajadores, considerando además algunos medios de verificación pertinentes.</w:t>
            </w:r>
          </w:p>
          <w:p w:rsidR="001E0BF5" w:rsidRPr="00503D17" w:rsidRDefault="001E0BF5" w:rsidP="00CD0C63">
            <w:pPr>
              <w:jc w:val="both"/>
              <w:rPr>
                <w:rFonts w:eastAsia="Times New Roman" w:cs="Arial"/>
                <w:color w:val="000000"/>
                <w:lang w:eastAsia="es-CL"/>
              </w:rPr>
            </w:pPr>
            <w:r w:rsidRPr="00503D17">
              <w:rPr>
                <w:rFonts w:eastAsia="Times New Roman" w:cs="Arial"/>
                <w:color w:val="000000"/>
                <w:sz w:val="18"/>
                <w:lang w:eastAsia="es-CL"/>
              </w:rPr>
              <w:lastRenderedPageBreak/>
              <w:t>Se considera el periodo de medición aquel establecido en el Acuerdo de Desempeño.</w:t>
            </w:r>
          </w:p>
        </w:tc>
        <w:tc>
          <w:tcPr>
            <w:tcW w:w="1134" w:type="dxa"/>
            <w:vAlign w:val="center"/>
          </w:tcPr>
          <w:p w:rsidR="001E0BF5" w:rsidRPr="00503D17" w:rsidRDefault="007156ED" w:rsidP="000F058A">
            <w:pPr>
              <w:jc w:val="center"/>
              <w:rPr>
                <w:rFonts w:eastAsia="Times New Roman" w:cs="Arial"/>
                <w:lang w:eastAsia="es-CL"/>
              </w:rPr>
            </w:pPr>
            <w:r>
              <w:rPr>
                <w:rFonts w:eastAsia="Times New Roman" w:cs="Arial"/>
                <w:lang w:eastAsia="es-CL"/>
              </w:rPr>
              <w:lastRenderedPageBreak/>
              <w:t>15</w:t>
            </w:r>
          </w:p>
        </w:tc>
      </w:tr>
      <w:tr w:rsidR="001E0BF5" w:rsidRPr="00503D17" w:rsidTr="00103125">
        <w:tc>
          <w:tcPr>
            <w:tcW w:w="1702" w:type="dxa"/>
            <w:vAlign w:val="center"/>
          </w:tcPr>
          <w:p w:rsidR="001E0BF5" w:rsidRPr="00503D17" w:rsidRDefault="001E0BF5" w:rsidP="00940E76">
            <w:pPr>
              <w:jc w:val="center"/>
              <w:rPr>
                <w:rFonts w:eastAsia="Times New Roman" w:cs="Arial"/>
                <w:b/>
                <w:bCs/>
                <w:color w:val="000000"/>
                <w:lang w:eastAsia="es-CL"/>
              </w:rPr>
            </w:pPr>
            <w:r w:rsidRPr="00503D17">
              <w:rPr>
                <w:rFonts w:eastAsia="Times New Roman" w:cs="Arial"/>
                <w:b/>
                <w:bCs/>
                <w:color w:val="000000"/>
                <w:lang w:eastAsia="es-CL"/>
              </w:rPr>
              <w:lastRenderedPageBreak/>
              <w:t>Inversiones realizadas</w:t>
            </w:r>
          </w:p>
        </w:tc>
        <w:tc>
          <w:tcPr>
            <w:tcW w:w="6804" w:type="dxa"/>
            <w:vAlign w:val="center"/>
          </w:tcPr>
          <w:p w:rsidR="001E0BF5"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Mide los recursos levantados por la empresa para realizar Inversiones durante el proceso de atención y/</w:t>
            </w:r>
            <w:r w:rsidR="00CD0C63" w:rsidRPr="00503D17">
              <w:rPr>
                <w:rFonts w:eastAsia="Times New Roman" w:cs="Arial"/>
                <w:color w:val="000000"/>
                <w:sz w:val="18"/>
                <w:lang w:eastAsia="es-CL"/>
              </w:rPr>
              <w:t>o como resultado de la asesoría.</w:t>
            </w:r>
          </w:p>
          <w:p w:rsidR="00CD0C63" w:rsidRPr="00503D17" w:rsidRDefault="001E0BF5" w:rsidP="00CD0C63">
            <w:pPr>
              <w:jc w:val="both"/>
              <w:rPr>
                <w:rFonts w:eastAsia="Times New Roman" w:cs="Arial"/>
                <w:color w:val="000000"/>
                <w:sz w:val="18"/>
                <w:lang w:eastAsia="es-CL"/>
              </w:rPr>
            </w:pPr>
            <w:r w:rsidRPr="00503D17">
              <w:rPr>
                <w:rFonts w:eastAsia="Times New Roman" w:cs="Arial"/>
                <w:color w:val="000000"/>
                <w:sz w:val="18"/>
                <w:lang w:eastAsia="es-CL"/>
              </w:rPr>
              <w:t>Se mide a partir de la información entregada por el cliente  en la reunión inicial (hito 1) y la encuesta de impacto económico aplicada una vez finalizada la implementación del Plan de Trabajo (hito 2). Es decir, es el cliente quien declara el impacto de la asesoría para levantar Inversiones considerando además algunos medios de verificación pertinentes.</w:t>
            </w:r>
          </w:p>
          <w:p w:rsidR="001E0BF5" w:rsidRPr="00503D17" w:rsidRDefault="001E0BF5" w:rsidP="00CD0C63">
            <w:pPr>
              <w:jc w:val="both"/>
              <w:rPr>
                <w:rFonts w:eastAsia="Times New Roman" w:cs="Arial"/>
                <w:color w:val="000000"/>
                <w:lang w:eastAsia="es-CL"/>
              </w:rPr>
            </w:pPr>
            <w:r w:rsidRPr="00503D17">
              <w:rPr>
                <w:rFonts w:eastAsia="Times New Roman" w:cs="Arial"/>
                <w:color w:val="000000"/>
                <w:sz w:val="18"/>
                <w:lang w:eastAsia="es-CL"/>
              </w:rPr>
              <w:t>Se considera el periodo de medición aquel establecido en el Acuerdo de Desempeño.</w:t>
            </w:r>
          </w:p>
        </w:tc>
        <w:tc>
          <w:tcPr>
            <w:tcW w:w="1134" w:type="dxa"/>
            <w:vAlign w:val="center"/>
          </w:tcPr>
          <w:p w:rsidR="00E25B85" w:rsidRPr="00503D17" w:rsidRDefault="007156ED" w:rsidP="00E03128">
            <w:pPr>
              <w:jc w:val="center"/>
              <w:rPr>
                <w:rFonts w:eastAsia="Times New Roman" w:cs="Arial"/>
                <w:lang w:eastAsia="es-CL"/>
              </w:rPr>
            </w:pPr>
            <w:r>
              <w:rPr>
                <w:rFonts w:eastAsia="Times New Roman" w:cs="Arial"/>
                <w:lang w:eastAsia="es-CL"/>
              </w:rPr>
              <w:t>$3</w:t>
            </w:r>
            <w:r w:rsidR="00E03128">
              <w:rPr>
                <w:rFonts w:eastAsia="Times New Roman" w:cs="Arial"/>
                <w:lang w:eastAsia="es-CL"/>
              </w:rPr>
              <w:t>0</w:t>
            </w:r>
            <w:r>
              <w:rPr>
                <w:rFonts w:eastAsia="Times New Roman" w:cs="Arial"/>
                <w:lang w:eastAsia="es-CL"/>
              </w:rPr>
              <w:t>MM</w:t>
            </w:r>
          </w:p>
        </w:tc>
      </w:tr>
    </w:tbl>
    <w:p w:rsidR="00C6570D" w:rsidRPr="00503D17" w:rsidRDefault="00C6570D" w:rsidP="00C6570D">
      <w:pPr>
        <w:pStyle w:val="Prrafodelista"/>
        <w:jc w:val="both"/>
        <w:rPr>
          <w:b/>
        </w:rPr>
      </w:pPr>
    </w:p>
    <w:p w:rsidR="00503D17" w:rsidRPr="00503D17" w:rsidRDefault="00503D17" w:rsidP="007F2DDA">
      <w:pPr>
        <w:pStyle w:val="Prrafodelista"/>
        <w:numPr>
          <w:ilvl w:val="0"/>
          <w:numId w:val="1"/>
        </w:numPr>
        <w:jc w:val="both"/>
        <w:rPr>
          <w:b/>
        </w:rPr>
      </w:pPr>
      <w:r w:rsidRPr="00503D17">
        <w:rPr>
          <w:b/>
        </w:rPr>
        <w:t>Aportes Operador y Socios Estratégicos:</w:t>
      </w:r>
    </w:p>
    <w:tbl>
      <w:tblPr>
        <w:tblStyle w:val="Tablaconcuadrcula"/>
        <w:tblW w:w="8946" w:type="dxa"/>
        <w:tblInd w:w="108" w:type="dxa"/>
        <w:tblLayout w:type="fixed"/>
        <w:tblLook w:val="04A0" w:firstRow="1" w:lastRow="0" w:firstColumn="1" w:lastColumn="0" w:noHBand="0" w:noVBand="1"/>
      </w:tblPr>
      <w:tblGrid>
        <w:gridCol w:w="1843"/>
        <w:gridCol w:w="1418"/>
        <w:gridCol w:w="5685"/>
      </w:tblGrid>
      <w:tr w:rsidR="00503D17" w:rsidRPr="00503D17" w:rsidTr="00DA4717">
        <w:tc>
          <w:tcPr>
            <w:tcW w:w="1843" w:type="dxa"/>
            <w:vAlign w:val="center"/>
          </w:tcPr>
          <w:p w:rsidR="00503D17" w:rsidRPr="00503D17" w:rsidRDefault="00503D17" w:rsidP="000F5D06">
            <w:pPr>
              <w:pStyle w:val="Prrafodelista"/>
              <w:ind w:left="0"/>
              <w:rPr>
                <w:b/>
              </w:rPr>
            </w:pPr>
            <w:r w:rsidRPr="00503D17">
              <w:rPr>
                <w:b/>
              </w:rPr>
              <w:t>NOMBRE APORTANTE</w:t>
            </w:r>
          </w:p>
        </w:tc>
        <w:tc>
          <w:tcPr>
            <w:tcW w:w="1418" w:type="dxa"/>
            <w:vAlign w:val="center"/>
          </w:tcPr>
          <w:p w:rsidR="00503D17" w:rsidRPr="00503D17" w:rsidRDefault="00503D17" w:rsidP="000F5D06">
            <w:pPr>
              <w:pStyle w:val="Prrafodelista"/>
              <w:ind w:left="0"/>
              <w:rPr>
                <w:b/>
              </w:rPr>
            </w:pPr>
            <w:r w:rsidRPr="00503D17">
              <w:rPr>
                <w:b/>
              </w:rPr>
              <w:t>Monto</w:t>
            </w:r>
          </w:p>
        </w:tc>
        <w:tc>
          <w:tcPr>
            <w:tcW w:w="5685" w:type="dxa"/>
            <w:vAlign w:val="center"/>
          </w:tcPr>
          <w:p w:rsidR="00503D17" w:rsidRPr="00503D17" w:rsidRDefault="00503D17" w:rsidP="000F5D06">
            <w:pPr>
              <w:pStyle w:val="Prrafodelista"/>
              <w:ind w:left="0"/>
              <w:rPr>
                <w:b/>
              </w:rPr>
            </w:pPr>
            <w:r w:rsidRPr="00503D17">
              <w:rPr>
                <w:b/>
              </w:rPr>
              <w:t>DESCRIPCIÓN DEL APORTE (Asesores especialistas, alumnos en práctica, satélites, puntos de atención móvil, estudios de mercado)</w:t>
            </w:r>
          </w:p>
        </w:tc>
      </w:tr>
      <w:tr w:rsidR="007156ED" w:rsidRPr="00503D17" w:rsidTr="00DA4717">
        <w:trPr>
          <w:trHeight w:val="240"/>
        </w:trPr>
        <w:tc>
          <w:tcPr>
            <w:tcW w:w="1843" w:type="dxa"/>
            <w:vAlign w:val="center"/>
          </w:tcPr>
          <w:p w:rsidR="007156ED" w:rsidRDefault="007156ED" w:rsidP="007156ED">
            <w:pPr>
              <w:pStyle w:val="Prrafodelista"/>
              <w:spacing w:line="252" w:lineRule="auto"/>
              <w:ind w:left="0"/>
            </w:pPr>
            <w:r>
              <w:t>SII</w:t>
            </w:r>
          </w:p>
        </w:tc>
        <w:tc>
          <w:tcPr>
            <w:tcW w:w="1418" w:type="dxa"/>
            <w:vAlign w:val="center"/>
          </w:tcPr>
          <w:p w:rsidR="007156ED" w:rsidRDefault="007156ED" w:rsidP="007156ED">
            <w:pPr>
              <w:pStyle w:val="Prrafodelista"/>
              <w:spacing w:line="252" w:lineRule="auto"/>
              <w:ind w:left="0"/>
            </w:pPr>
            <w:r>
              <w:t>$ 720.000</w:t>
            </w:r>
          </w:p>
        </w:tc>
        <w:tc>
          <w:tcPr>
            <w:tcW w:w="5685" w:type="dxa"/>
            <w:vAlign w:val="center"/>
          </w:tcPr>
          <w:p w:rsidR="007156ED" w:rsidRDefault="007156ED" w:rsidP="007156ED">
            <w:pPr>
              <w:spacing w:line="276" w:lineRule="auto"/>
              <w:rPr>
                <w:rFonts w:ascii="Times New Roman" w:eastAsia="Times New Roman" w:hAnsi="Times New Roman"/>
                <w:sz w:val="20"/>
                <w:szCs w:val="20"/>
                <w:lang w:eastAsia="es-CL"/>
              </w:rPr>
            </w:pPr>
            <w:r>
              <w:rPr>
                <w:rFonts w:ascii="Times New Roman" w:eastAsia="Times New Roman" w:hAnsi="Times New Roman"/>
                <w:sz w:val="20"/>
                <w:szCs w:val="20"/>
                <w:lang w:eastAsia="es-CL"/>
              </w:rPr>
              <w:t xml:space="preserve">Charlista para asesorías especializadas. Al menos 1 vez al mes en distintas comunas. (Chanco, Empedrado, </w:t>
            </w:r>
            <w:proofErr w:type="spellStart"/>
            <w:r>
              <w:rPr>
                <w:rFonts w:ascii="Times New Roman" w:eastAsia="Times New Roman" w:hAnsi="Times New Roman"/>
                <w:sz w:val="20"/>
                <w:szCs w:val="20"/>
                <w:lang w:eastAsia="es-CL"/>
              </w:rPr>
              <w:t>Pelluhue</w:t>
            </w:r>
            <w:proofErr w:type="spellEnd"/>
            <w:r>
              <w:rPr>
                <w:rFonts w:ascii="Times New Roman" w:eastAsia="Times New Roman" w:hAnsi="Times New Roman"/>
                <w:sz w:val="20"/>
                <w:szCs w:val="20"/>
                <w:lang w:eastAsia="es-CL"/>
              </w:rPr>
              <w:t>, Cauquenes).</w:t>
            </w:r>
          </w:p>
        </w:tc>
      </w:tr>
      <w:tr w:rsidR="007156ED" w:rsidRPr="00503D17" w:rsidTr="00DA4717">
        <w:trPr>
          <w:trHeight w:val="88"/>
        </w:trPr>
        <w:tc>
          <w:tcPr>
            <w:tcW w:w="1843" w:type="dxa"/>
            <w:vAlign w:val="center"/>
          </w:tcPr>
          <w:p w:rsidR="007156ED" w:rsidRDefault="007156ED" w:rsidP="007156ED">
            <w:pPr>
              <w:pStyle w:val="Prrafodelista"/>
              <w:spacing w:line="252" w:lineRule="auto"/>
              <w:ind w:left="0"/>
            </w:pPr>
            <w:r>
              <w:t xml:space="preserve">Municipalidades Chanco, </w:t>
            </w:r>
            <w:proofErr w:type="spellStart"/>
            <w:r>
              <w:t>Pelluhue</w:t>
            </w:r>
            <w:proofErr w:type="spellEnd"/>
            <w:r>
              <w:t xml:space="preserve">, empedrado y Gobernación </w:t>
            </w:r>
          </w:p>
        </w:tc>
        <w:tc>
          <w:tcPr>
            <w:tcW w:w="1418" w:type="dxa"/>
            <w:vAlign w:val="center"/>
          </w:tcPr>
          <w:p w:rsidR="007156ED" w:rsidRDefault="007156ED" w:rsidP="007156ED">
            <w:pPr>
              <w:pStyle w:val="Prrafodelista"/>
              <w:spacing w:line="252" w:lineRule="auto"/>
              <w:ind w:left="0"/>
            </w:pPr>
            <w:r>
              <w:t>$ 1.120.000</w:t>
            </w:r>
          </w:p>
        </w:tc>
        <w:tc>
          <w:tcPr>
            <w:tcW w:w="5685" w:type="dxa"/>
            <w:vAlign w:val="center"/>
          </w:tcPr>
          <w:p w:rsidR="007156ED" w:rsidRDefault="007156ED" w:rsidP="007156ED">
            <w:pPr>
              <w:spacing w:line="276" w:lineRule="auto"/>
              <w:rPr>
                <w:rFonts w:ascii="Times New Roman" w:eastAsia="Times New Roman" w:hAnsi="Times New Roman"/>
                <w:sz w:val="20"/>
                <w:szCs w:val="20"/>
                <w:lang w:eastAsia="es-CL"/>
              </w:rPr>
            </w:pPr>
            <w:r>
              <w:rPr>
                <w:rFonts w:ascii="Times New Roman" w:eastAsia="Times New Roman" w:hAnsi="Times New Roman"/>
                <w:sz w:val="20"/>
                <w:szCs w:val="20"/>
                <w:lang w:eastAsia="es-CL"/>
              </w:rPr>
              <w:t>Prestamos de salones para eventos de Capacitación.</w:t>
            </w:r>
          </w:p>
        </w:tc>
      </w:tr>
      <w:tr w:rsidR="00DA4717" w:rsidRPr="00503D17" w:rsidTr="00DA4717">
        <w:trPr>
          <w:trHeight w:val="88"/>
        </w:trPr>
        <w:tc>
          <w:tcPr>
            <w:tcW w:w="1843" w:type="dxa"/>
            <w:vAlign w:val="center"/>
          </w:tcPr>
          <w:p w:rsidR="00DA4717" w:rsidRDefault="00DA4717" w:rsidP="007156ED">
            <w:pPr>
              <w:pStyle w:val="Prrafodelista"/>
              <w:spacing w:line="252" w:lineRule="auto"/>
              <w:ind w:left="0"/>
            </w:pPr>
            <w:r>
              <w:t>UCM</w:t>
            </w:r>
          </w:p>
        </w:tc>
        <w:tc>
          <w:tcPr>
            <w:tcW w:w="1418" w:type="dxa"/>
            <w:vAlign w:val="center"/>
          </w:tcPr>
          <w:p w:rsidR="00DA4717" w:rsidRDefault="00DA4717" w:rsidP="0080626A">
            <w:pPr>
              <w:pStyle w:val="Prrafodelista"/>
              <w:spacing w:line="252" w:lineRule="auto"/>
              <w:ind w:left="0"/>
            </w:pPr>
            <w:r>
              <w:t>$26.</w:t>
            </w:r>
            <w:r w:rsidR="0080626A">
              <w:t>441</w:t>
            </w:r>
            <w:r>
              <w:t>.</w:t>
            </w:r>
            <w:r w:rsidR="0080626A">
              <w:t>000</w:t>
            </w:r>
          </w:p>
        </w:tc>
        <w:tc>
          <w:tcPr>
            <w:tcW w:w="5685" w:type="dxa"/>
            <w:vAlign w:val="center"/>
          </w:tcPr>
          <w:p w:rsidR="00DA4717" w:rsidRDefault="00DA4717" w:rsidP="007156ED">
            <w:pPr>
              <w:rPr>
                <w:rFonts w:ascii="Times New Roman" w:eastAsia="Times New Roman" w:hAnsi="Times New Roman"/>
                <w:sz w:val="20"/>
                <w:szCs w:val="20"/>
                <w:lang w:eastAsia="es-CL"/>
              </w:rPr>
            </w:pPr>
            <w:r>
              <w:rPr>
                <w:rFonts w:ascii="Times New Roman" w:eastAsia="Times New Roman" w:hAnsi="Times New Roman"/>
                <w:sz w:val="20"/>
                <w:szCs w:val="20"/>
                <w:lang w:eastAsia="es-CL"/>
              </w:rPr>
              <w:t>RRHH, periodista, administrativo, capacitación a clientes de centro, capacitación RRHH</w:t>
            </w:r>
          </w:p>
        </w:tc>
      </w:tr>
    </w:tbl>
    <w:p w:rsidR="00503D17" w:rsidRPr="00503D17" w:rsidRDefault="00FC339E" w:rsidP="00FC339E">
      <w:pPr>
        <w:pStyle w:val="Prrafodelista"/>
        <w:tabs>
          <w:tab w:val="left" w:pos="3518"/>
        </w:tabs>
        <w:jc w:val="both"/>
        <w:rPr>
          <w:b/>
        </w:rPr>
      </w:pPr>
      <w:r>
        <w:rPr>
          <w:b/>
        </w:rPr>
        <w:tab/>
      </w:r>
    </w:p>
    <w:p w:rsidR="009F4C34" w:rsidRDefault="009F4C34" w:rsidP="00503D17">
      <w:pPr>
        <w:pStyle w:val="Prrafodelista"/>
        <w:jc w:val="both"/>
        <w:rPr>
          <w:b/>
        </w:rPr>
      </w:pPr>
    </w:p>
    <w:p w:rsidR="009F4C34" w:rsidRPr="00503D17" w:rsidRDefault="009F4C34" w:rsidP="00503D17">
      <w:pPr>
        <w:pStyle w:val="Prrafodelista"/>
        <w:jc w:val="both"/>
        <w:rPr>
          <w:b/>
        </w:rPr>
      </w:pPr>
    </w:p>
    <w:p w:rsidR="001E0BF5" w:rsidRPr="00503D17" w:rsidRDefault="007853E4" w:rsidP="002B23B5">
      <w:pPr>
        <w:pStyle w:val="Prrafodelista"/>
        <w:numPr>
          <w:ilvl w:val="0"/>
          <w:numId w:val="1"/>
        </w:numPr>
        <w:rPr>
          <w:b/>
        </w:rPr>
      </w:pPr>
      <w:r w:rsidRPr="00503D17">
        <w:rPr>
          <w:b/>
        </w:rPr>
        <w:t xml:space="preserve">Presupuesto: </w:t>
      </w:r>
      <w:r w:rsidRPr="00503D17">
        <w:t>Se aprueba presupuesto que será incorporado en el Acuerdo de Desempeño, según la siguiente distribución:</w:t>
      </w:r>
      <w:r w:rsidRPr="00503D17">
        <w:rPr>
          <w:b/>
        </w:rPr>
        <w:t xml:space="preserve"> </w:t>
      </w:r>
    </w:p>
    <w:p w:rsidR="007853E4" w:rsidRPr="00503D17" w:rsidRDefault="007853E4" w:rsidP="007853E4">
      <w:pPr>
        <w:pStyle w:val="Prrafodelista"/>
        <w:jc w:val="both"/>
        <w:rPr>
          <w:b/>
        </w:rPr>
      </w:pPr>
    </w:p>
    <w:tbl>
      <w:tblPr>
        <w:tblStyle w:val="Tablaconcuadrcula"/>
        <w:tblW w:w="0" w:type="auto"/>
        <w:tblInd w:w="108" w:type="dxa"/>
        <w:tblLook w:val="04A0" w:firstRow="1" w:lastRow="0" w:firstColumn="1" w:lastColumn="0" w:noHBand="0" w:noVBand="1"/>
      </w:tblPr>
      <w:tblGrid>
        <w:gridCol w:w="1606"/>
        <w:gridCol w:w="2222"/>
        <w:gridCol w:w="708"/>
        <w:gridCol w:w="1418"/>
        <w:gridCol w:w="974"/>
        <w:gridCol w:w="2018"/>
      </w:tblGrid>
      <w:tr w:rsidR="007853E4" w:rsidRPr="00503D17" w:rsidTr="007F2DDA">
        <w:tc>
          <w:tcPr>
            <w:tcW w:w="1606" w:type="dxa"/>
          </w:tcPr>
          <w:p w:rsidR="007853E4" w:rsidRPr="00503D17" w:rsidRDefault="007853E4" w:rsidP="007853E4">
            <w:pPr>
              <w:pStyle w:val="Prrafodelista"/>
              <w:ind w:left="0"/>
              <w:jc w:val="center"/>
              <w:rPr>
                <w:b/>
              </w:rPr>
            </w:pPr>
            <w:r w:rsidRPr="00503D17">
              <w:rPr>
                <w:b/>
              </w:rPr>
              <w:t>Ítem</w:t>
            </w:r>
          </w:p>
        </w:tc>
        <w:tc>
          <w:tcPr>
            <w:tcW w:w="2930" w:type="dxa"/>
            <w:gridSpan w:val="2"/>
          </w:tcPr>
          <w:p w:rsidR="007853E4" w:rsidRPr="00503D17" w:rsidRDefault="007853E4" w:rsidP="007853E4">
            <w:pPr>
              <w:pStyle w:val="Prrafodelista"/>
              <w:ind w:left="0"/>
              <w:jc w:val="center"/>
              <w:rPr>
                <w:b/>
              </w:rPr>
            </w:pPr>
            <w:r w:rsidRPr="00503D17">
              <w:rPr>
                <w:b/>
              </w:rPr>
              <w:t>Aporte Sercotec $</w:t>
            </w:r>
          </w:p>
        </w:tc>
        <w:tc>
          <w:tcPr>
            <w:tcW w:w="2392" w:type="dxa"/>
            <w:gridSpan w:val="2"/>
          </w:tcPr>
          <w:p w:rsidR="007853E4" w:rsidRPr="00503D17" w:rsidRDefault="007853E4" w:rsidP="007853E4">
            <w:pPr>
              <w:pStyle w:val="Prrafodelista"/>
              <w:ind w:left="0"/>
              <w:jc w:val="center"/>
              <w:rPr>
                <w:b/>
              </w:rPr>
            </w:pPr>
            <w:r w:rsidRPr="00503D17">
              <w:rPr>
                <w:b/>
              </w:rPr>
              <w:t>Aporte Operador $</w:t>
            </w:r>
          </w:p>
        </w:tc>
        <w:tc>
          <w:tcPr>
            <w:tcW w:w="2018" w:type="dxa"/>
          </w:tcPr>
          <w:p w:rsidR="007853E4" w:rsidRPr="00503D17" w:rsidRDefault="007853E4" w:rsidP="007853E4">
            <w:pPr>
              <w:pStyle w:val="Prrafodelista"/>
              <w:ind w:left="0"/>
              <w:jc w:val="center"/>
              <w:rPr>
                <w:b/>
              </w:rPr>
            </w:pPr>
            <w:r w:rsidRPr="00503D17">
              <w:rPr>
                <w:b/>
              </w:rPr>
              <w:t>Total $</w:t>
            </w:r>
          </w:p>
        </w:tc>
      </w:tr>
      <w:tr w:rsidR="007853E4" w:rsidRPr="00503D17" w:rsidTr="007F2DDA">
        <w:tc>
          <w:tcPr>
            <w:tcW w:w="1606" w:type="dxa"/>
          </w:tcPr>
          <w:p w:rsidR="007853E4" w:rsidRPr="00503D17" w:rsidRDefault="007853E4" w:rsidP="007853E4">
            <w:pPr>
              <w:pStyle w:val="Prrafodelista"/>
              <w:ind w:left="0"/>
              <w:jc w:val="both"/>
              <w:rPr>
                <w:b/>
              </w:rPr>
            </w:pPr>
            <w:r w:rsidRPr="00503D17">
              <w:rPr>
                <w:b/>
              </w:rPr>
              <w:t xml:space="preserve">Operación </w:t>
            </w:r>
          </w:p>
        </w:tc>
        <w:tc>
          <w:tcPr>
            <w:tcW w:w="2930" w:type="dxa"/>
            <w:gridSpan w:val="2"/>
          </w:tcPr>
          <w:p w:rsidR="007853E4" w:rsidRPr="00503D17" w:rsidRDefault="00DA4717" w:rsidP="007853E4">
            <w:pPr>
              <w:pStyle w:val="Prrafodelista"/>
              <w:ind w:left="0"/>
              <w:jc w:val="center"/>
            </w:pPr>
            <w:r w:rsidRPr="00DA4717">
              <w:t>162.020.000</w:t>
            </w:r>
          </w:p>
        </w:tc>
        <w:tc>
          <w:tcPr>
            <w:tcW w:w="2392" w:type="dxa"/>
            <w:gridSpan w:val="2"/>
          </w:tcPr>
          <w:p w:rsidR="00215AC5" w:rsidRPr="00503D17" w:rsidRDefault="00221B88" w:rsidP="00221B88">
            <w:pPr>
              <w:pStyle w:val="Prrafodelista"/>
              <w:ind w:left="0"/>
              <w:jc w:val="center"/>
            </w:pPr>
            <w:r w:rsidRPr="00221B88">
              <w:t>31.708.500</w:t>
            </w:r>
          </w:p>
        </w:tc>
        <w:tc>
          <w:tcPr>
            <w:tcW w:w="2018" w:type="dxa"/>
          </w:tcPr>
          <w:p w:rsidR="007853E4" w:rsidRPr="00503D17" w:rsidRDefault="00221B88" w:rsidP="00221B88">
            <w:pPr>
              <w:jc w:val="center"/>
            </w:pPr>
            <w:r>
              <w:rPr>
                <w:rFonts w:ascii="Calibri" w:hAnsi="Calibri"/>
                <w:color w:val="000000"/>
              </w:rPr>
              <w:t>193.728.500</w:t>
            </w:r>
          </w:p>
        </w:tc>
      </w:tr>
      <w:tr w:rsidR="007853E4" w:rsidRPr="00503D17" w:rsidTr="007F2DDA">
        <w:tc>
          <w:tcPr>
            <w:tcW w:w="1606" w:type="dxa"/>
          </w:tcPr>
          <w:p w:rsidR="007853E4" w:rsidRPr="00503D17" w:rsidRDefault="007853E4" w:rsidP="007853E4">
            <w:pPr>
              <w:pStyle w:val="Prrafodelista"/>
              <w:ind w:left="0"/>
              <w:jc w:val="both"/>
              <w:rPr>
                <w:b/>
              </w:rPr>
            </w:pPr>
            <w:r w:rsidRPr="00503D17">
              <w:rPr>
                <w:b/>
              </w:rPr>
              <w:t xml:space="preserve">Administración </w:t>
            </w:r>
          </w:p>
        </w:tc>
        <w:tc>
          <w:tcPr>
            <w:tcW w:w="2930" w:type="dxa"/>
            <w:gridSpan w:val="2"/>
          </w:tcPr>
          <w:p w:rsidR="007853E4" w:rsidRPr="00503D17" w:rsidRDefault="00DA4717" w:rsidP="007853E4">
            <w:pPr>
              <w:pStyle w:val="Prrafodelista"/>
              <w:ind w:left="0"/>
              <w:jc w:val="center"/>
            </w:pPr>
            <w:r w:rsidRPr="00DA4717">
              <w:t>17.660.000</w:t>
            </w:r>
          </w:p>
        </w:tc>
        <w:tc>
          <w:tcPr>
            <w:tcW w:w="2392" w:type="dxa"/>
            <w:gridSpan w:val="2"/>
          </w:tcPr>
          <w:p w:rsidR="007853E4" w:rsidRPr="00503D17" w:rsidRDefault="00DA4717" w:rsidP="007853E4">
            <w:pPr>
              <w:pStyle w:val="Prrafodelista"/>
              <w:ind w:left="0"/>
              <w:jc w:val="center"/>
            </w:pPr>
            <w:r>
              <w:t>0</w:t>
            </w:r>
          </w:p>
        </w:tc>
        <w:tc>
          <w:tcPr>
            <w:tcW w:w="2018" w:type="dxa"/>
          </w:tcPr>
          <w:p w:rsidR="007853E4" w:rsidRPr="00503D17" w:rsidRDefault="00DA4717" w:rsidP="007853E4">
            <w:pPr>
              <w:pStyle w:val="Prrafodelista"/>
              <w:ind w:left="0"/>
              <w:jc w:val="center"/>
            </w:pPr>
            <w:r w:rsidRPr="00DA4717">
              <w:t>17.660.000</w:t>
            </w:r>
          </w:p>
        </w:tc>
      </w:tr>
      <w:tr w:rsidR="007F2DDA" w:rsidRPr="00503D17" w:rsidTr="00B0584D">
        <w:tc>
          <w:tcPr>
            <w:tcW w:w="1606" w:type="dxa"/>
          </w:tcPr>
          <w:p w:rsidR="007853E4" w:rsidRPr="00503D17" w:rsidRDefault="007853E4" w:rsidP="007853E4">
            <w:pPr>
              <w:pStyle w:val="Prrafodelista"/>
              <w:ind w:left="0"/>
              <w:jc w:val="right"/>
              <w:rPr>
                <w:b/>
              </w:rPr>
            </w:pPr>
            <w:r w:rsidRPr="00503D17">
              <w:rPr>
                <w:b/>
              </w:rPr>
              <w:t xml:space="preserve">Total </w:t>
            </w:r>
          </w:p>
        </w:tc>
        <w:tc>
          <w:tcPr>
            <w:tcW w:w="2222" w:type="dxa"/>
          </w:tcPr>
          <w:p w:rsidR="007853E4" w:rsidRPr="00503D17" w:rsidRDefault="00DA4717" w:rsidP="007853E4">
            <w:pPr>
              <w:pStyle w:val="Prrafodelista"/>
              <w:ind w:left="0"/>
              <w:jc w:val="center"/>
              <w:rPr>
                <w:b/>
              </w:rPr>
            </w:pPr>
            <w:r w:rsidRPr="00DA4717">
              <w:rPr>
                <w:b/>
              </w:rPr>
              <w:t>179.680.000</w:t>
            </w:r>
          </w:p>
        </w:tc>
        <w:tc>
          <w:tcPr>
            <w:tcW w:w="708" w:type="dxa"/>
          </w:tcPr>
          <w:p w:rsidR="007853E4" w:rsidRPr="00503D17" w:rsidRDefault="00891FA7" w:rsidP="0080626A">
            <w:pPr>
              <w:pStyle w:val="Prrafodelista"/>
              <w:ind w:left="0"/>
              <w:rPr>
                <w:b/>
              </w:rPr>
            </w:pPr>
            <w:r>
              <w:rPr>
                <w:b/>
              </w:rPr>
              <w:t>85</w:t>
            </w:r>
            <w:r w:rsidR="00DA4717" w:rsidRPr="00DA4717">
              <w:rPr>
                <w:b/>
              </w:rPr>
              <w:t>%</w:t>
            </w:r>
          </w:p>
        </w:tc>
        <w:tc>
          <w:tcPr>
            <w:tcW w:w="1418" w:type="dxa"/>
          </w:tcPr>
          <w:p w:rsidR="007853E4" w:rsidRPr="00503D17" w:rsidRDefault="00221B88" w:rsidP="007853E4">
            <w:pPr>
              <w:pStyle w:val="Prrafodelista"/>
              <w:ind w:left="0"/>
              <w:jc w:val="center"/>
              <w:rPr>
                <w:b/>
              </w:rPr>
            </w:pPr>
            <w:r w:rsidRPr="00221B88">
              <w:t>31.708.500</w:t>
            </w:r>
          </w:p>
        </w:tc>
        <w:tc>
          <w:tcPr>
            <w:tcW w:w="974" w:type="dxa"/>
          </w:tcPr>
          <w:p w:rsidR="007853E4" w:rsidRPr="00503D17" w:rsidRDefault="00891FA7" w:rsidP="0080626A">
            <w:pPr>
              <w:pStyle w:val="Prrafodelista"/>
              <w:ind w:left="0"/>
              <w:jc w:val="center"/>
              <w:rPr>
                <w:b/>
              </w:rPr>
            </w:pPr>
            <w:r>
              <w:rPr>
                <w:b/>
              </w:rPr>
              <w:t>15</w:t>
            </w:r>
            <w:bookmarkStart w:id="0" w:name="_GoBack"/>
            <w:bookmarkEnd w:id="0"/>
            <w:r w:rsidR="00DA4717" w:rsidRPr="00DA4717">
              <w:rPr>
                <w:b/>
              </w:rPr>
              <w:t>%</w:t>
            </w:r>
          </w:p>
        </w:tc>
        <w:tc>
          <w:tcPr>
            <w:tcW w:w="2018" w:type="dxa"/>
          </w:tcPr>
          <w:p w:rsidR="007853E4" w:rsidRPr="00503D17" w:rsidRDefault="00221B88" w:rsidP="007853E4">
            <w:pPr>
              <w:pStyle w:val="Prrafodelista"/>
              <w:ind w:left="0"/>
              <w:jc w:val="center"/>
              <w:rPr>
                <w:b/>
              </w:rPr>
            </w:pPr>
            <w:r>
              <w:rPr>
                <w:b/>
              </w:rPr>
              <w:t>211.388.500</w:t>
            </w:r>
          </w:p>
        </w:tc>
      </w:tr>
    </w:tbl>
    <w:p w:rsidR="007853E4" w:rsidRPr="00503D17" w:rsidRDefault="00F04CD4" w:rsidP="007853E4">
      <w:pPr>
        <w:pStyle w:val="Prrafodelista"/>
        <w:jc w:val="both"/>
      </w:pPr>
      <w:r w:rsidRPr="00503D17">
        <w:t xml:space="preserve">Se adjunta planilla Excel con el detalle de las partidas presupuestarias </w:t>
      </w:r>
    </w:p>
    <w:p w:rsidR="000F058A" w:rsidRDefault="000F058A" w:rsidP="000F058A">
      <w:pPr>
        <w:rPr>
          <w:b/>
        </w:rPr>
      </w:pPr>
    </w:p>
    <w:p w:rsidR="007F2DDA" w:rsidRDefault="007F2DDA">
      <w:pPr>
        <w:rPr>
          <w:b/>
        </w:rPr>
      </w:pPr>
      <w:r>
        <w:rPr>
          <w:b/>
        </w:rPr>
        <w:br w:type="page"/>
      </w:r>
    </w:p>
    <w:p w:rsidR="007853E4" w:rsidRDefault="00503D17" w:rsidP="002B23B5">
      <w:pPr>
        <w:pStyle w:val="Prrafodelista"/>
        <w:numPr>
          <w:ilvl w:val="0"/>
          <w:numId w:val="1"/>
        </w:numPr>
        <w:rPr>
          <w:b/>
        </w:rPr>
      </w:pPr>
      <w:r>
        <w:rPr>
          <w:b/>
        </w:rPr>
        <w:lastRenderedPageBreak/>
        <w:t>T</w:t>
      </w:r>
      <w:r w:rsidR="007853E4" w:rsidRPr="00503D17">
        <w:rPr>
          <w:b/>
        </w:rPr>
        <w:t xml:space="preserve">emas </w:t>
      </w:r>
      <w:r w:rsidR="00F04CD4" w:rsidRPr="00503D17">
        <w:rPr>
          <w:b/>
        </w:rPr>
        <w:t>estratégicos</w:t>
      </w:r>
      <w:r w:rsidR="007853E4" w:rsidRPr="00503D17">
        <w:rPr>
          <w:b/>
        </w:rPr>
        <w:t>:</w:t>
      </w:r>
    </w:p>
    <w:p w:rsidR="000843E8" w:rsidRDefault="000843E8" w:rsidP="000843E8">
      <w:pPr>
        <w:rPr>
          <w:b/>
        </w:rPr>
      </w:pPr>
      <w:r>
        <w:rPr>
          <w:b/>
        </w:rPr>
        <w:t>Convenio a 3 años FNDR Región del Maule, operado por la Universidad Católica del Maule</w:t>
      </w:r>
    </w:p>
    <w:p w:rsidR="000843E8" w:rsidRPr="000843E8" w:rsidRDefault="000843E8" w:rsidP="000843E8">
      <w:pPr>
        <w:rPr>
          <w:b/>
        </w:rPr>
      </w:pPr>
    </w:p>
    <w:p w:rsidR="00031F2D" w:rsidRDefault="00031F2D" w:rsidP="00503D17">
      <w:pPr>
        <w:pStyle w:val="Prrafodelista"/>
        <w:numPr>
          <w:ilvl w:val="1"/>
          <w:numId w:val="11"/>
        </w:numPr>
        <w:spacing w:after="240" w:line="240" w:lineRule="auto"/>
        <w:ind w:left="851" w:hanging="425"/>
        <w:jc w:val="both"/>
        <w:rPr>
          <w:b/>
        </w:rPr>
      </w:pPr>
      <w:r w:rsidRPr="00031F2D">
        <w:rPr>
          <w:b/>
        </w:rPr>
        <w:t>Recursos Humanos</w:t>
      </w:r>
    </w:p>
    <w:p w:rsidR="00031F2D" w:rsidRPr="00B85BE3" w:rsidRDefault="00031F2D" w:rsidP="006E3993">
      <w:pPr>
        <w:pStyle w:val="Prrafodelista"/>
        <w:numPr>
          <w:ilvl w:val="0"/>
          <w:numId w:val="12"/>
        </w:numPr>
        <w:spacing w:after="240" w:line="240" w:lineRule="auto"/>
        <w:jc w:val="both"/>
      </w:pPr>
      <w:r w:rsidRPr="00B85BE3">
        <w:rPr>
          <w:b/>
        </w:rPr>
        <w:t>Evaluaciones del equipo de trabajo</w:t>
      </w:r>
      <w:r w:rsidRPr="00B85BE3">
        <w:t>: El operador deberá realizar evaluaciones de desempeño trimestrales y realizar gestión sobre los resultados obtenidos.</w:t>
      </w:r>
    </w:p>
    <w:p w:rsidR="006E3993" w:rsidRPr="00B85BE3" w:rsidRDefault="006E3993" w:rsidP="006E3993">
      <w:pPr>
        <w:pStyle w:val="Prrafodelista"/>
        <w:spacing w:after="240" w:line="240" w:lineRule="auto"/>
        <w:ind w:left="1571"/>
        <w:jc w:val="both"/>
      </w:pPr>
    </w:p>
    <w:p w:rsidR="006E3993" w:rsidRPr="00B85BE3" w:rsidRDefault="006E3993" w:rsidP="006E3993">
      <w:pPr>
        <w:pStyle w:val="Prrafodelista"/>
        <w:numPr>
          <w:ilvl w:val="0"/>
          <w:numId w:val="12"/>
        </w:numPr>
        <w:spacing w:after="240" w:line="240" w:lineRule="auto"/>
        <w:jc w:val="both"/>
      </w:pPr>
      <w:r w:rsidRPr="00B85BE3">
        <w:rPr>
          <w:b/>
        </w:rPr>
        <w:t>Plan de Capacitación del equipo:</w:t>
      </w:r>
      <w:r w:rsidRPr="00B85BE3">
        <w:t xml:space="preserve"> </w:t>
      </w:r>
      <w:r w:rsidR="00031F2D" w:rsidRPr="00B85BE3">
        <w:t>Las  brechas identificadas del equipo</w:t>
      </w:r>
      <w:r w:rsidRPr="00B85BE3">
        <w:t>:</w:t>
      </w:r>
      <w:r w:rsidR="00031F2D" w:rsidRPr="00B85BE3">
        <w:t xml:space="preserve"> deben ser consideradas en el plan de capacitación interno.</w:t>
      </w:r>
    </w:p>
    <w:p w:rsidR="006C1406" w:rsidRPr="00B85BE3" w:rsidRDefault="006E3993" w:rsidP="006E3993">
      <w:pPr>
        <w:pStyle w:val="Prrafodelista"/>
        <w:spacing w:after="240" w:line="240" w:lineRule="auto"/>
        <w:ind w:left="1571"/>
        <w:jc w:val="both"/>
      </w:pPr>
      <w:r w:rsidRPr="00B85BE3">
        <w:t xml:space="preserve">Considerar dentro del ítem presupuestario al menos dos visitas al Nivel Central del equipo regional (traslados y viáticos), para encuentros nacionales según pertinencia. </w:t>
      </w:r>
    </w:p>
    <w:p w:rsidR="006E3993" w:rsidRPr="00B85BE3" w:rsidRDefault="006C1406" w:rsidP="006E3993">
      <w:pPr>
        <w:pStyle w:val="Prrafodelista"/>
        <w:spacing w:after="240" w:line="240" w:lineRule="auto"/>
        <w:ind w:left="1571"/>
        <w:jc w:val="both"/>
      </w:pPr>
      <w:r w:rsidRPr="00B85BE3">
        <w:t>C</w:t>
      </w:r>
      <w:r w:rsidR="006E3993" w:rsidRPr="00B85BE3">
        <w:t>onsiderar una capacitación vinculada al manejo de clientes conflictivos para el equipo del centro, trabajo en equipo y otros relacionados que contribuyan a un favorable clima laboral.</w:t>
      </w:r>
    </w:p>
    <w:p w:rsidR="00031F2D" w:rsidRPr="00B85BE3" w:rsidRDefault="00031F2D" w:rsidP="00031F2D">
      <w:pPr>
        <w:pStyle w:val="Prrafodelista"/>
        <w:spacing w:after="240" w:line="240" w:lineRule="auto"/>
        <w:ind w:left="851"/>
        <w:jc w:val="both"/>
        <w:rPr>
          <w:b/>
        </w:rPr>
      </w:pPr>
    </w:p>
    <w:p w:rsidR="00503D17" w:rsidRPr="00B85BE3" w:rsidRDefault="00503D17" w:rsidP="00503D17">
      <w:pPr>
        <w:pStyle w:val="Prrafodelista"/>
        <w:numPr>
          <w:ilvl w:val="1"/>
          <w:numId w:val="11"/>
        </w:numPr>
        <w:spacing w:after="240" w:line="240" w:lineRule="auto"/>
        <w:ind w:left="851" w:hanging="425"/>
        <w:jc w:val="both"/>
      </w:pPr>
      <w:r w:rsidRPr="00B85BE3">
        <w:rPr>
          <w:b/>
        </w:rPr>
        <w:t>Operación</w:t>
      </w:r>
      <w:r w:rsidRPr="00B85BE3">
        <w:t xml:space="preserve"> </w:t>
      </w:r>
    </w:p>
    <w:p w:rsidR="00503D17" w:rsidRPr="00B85BE3" w:rsidRDefault="00503D17" w:rsidP="00503D17">
      <w:pPr>
        <w:pStyle w:val="Prrafodelista"/>
        <w:numPr>
          <w:ilvl w:val="0"/>
          <w:numId w:val="12"/>
        </w:numPr>
        <w:spacing w:after="240" w:line="240" w:lineRule="auto"/>
        <w:jc w:val="both"/>
      </w:pPr>
      <w:r w:rsidRPr="00B85BE3">
        <w:rPr>
          <w:b/>
        </w:rPr>
        <w:t>Escuela de Negocio para el Fortalecimiento de Mujeres</w:t>
      </w:r>
      <w:r w:rsidRPr="00B85BE3">
        <w:t xml:space="preserve">: Desarrollar dicha escuela con los aportes de terceros y/o socios estratégicos, considerando </w:t>
      </w:r>
      <w:r w:rsidR="00031F2D" w:rsidRPr="00B85BE3">
        <w:t>el uso de la metodología y contenidos elaborados</w:t>
      </w:r>
      <w:r w:rsidRPr="00B85BE3">
        <w:t xml:space="preserve"> por Sercotec, con una periodicidad de tres meses, y revisiones de la actividad para evaluar sus resultados.</w:t>
      </w:r>
    </w:p>
    <w:p w:rsidR="00503D17" w:rsidRPr="00B85BE3" w:rsidRDefault="00503D17" w:rsidP="00031F2D">
      <w:pPr>
        <w:pStyle w:val="Prrafodelista"/>
        <w:ind w:left="1571"/>
        <w:jc w:val="both"/>
      </w:pPr>
      <w:r w:rsidRPr="00B85BE3">
        <w:t>Los resultados del programa piloto implementado, indican que las mujeres participantes del programa de emprendimiento femenino y que fueron derivadas a un centro, requieren un menor número de horas de asesoría, presentan una menor deserción y mayor compromiso, por lo que la implementación del Programa retribuirá de manera favorable a los resultados del centro y su gestión.</w:t>
      </w:r>
    </w:p>
    <w:p w:rsidR="006E3993" w:rsidRPr="00B85BE3" w:rsidRDefault="006E3993" w:rsidP="006E3993">
      <w:pPr>
        <w:pStyle w:val="Prrafodelista"/>
        <w:spacing w:after="240" w:line="240" w:lineRule="auto"/>
        <w:ind w:left="1571"/>
        <w:jc w:val="both"/>
      </w:pPr>
    </w:p>
    <w:p w:rsidR="00031F2D" w:rsidRPr="00B85BE3" w:rsidRDefault="00031F2D" w:rsidP="00031F2D">
      <w:pPr>
        <w:pStyle w:val="Prrafodelista"/>
        <w:numPr>
          <w:ilvl w:val="0"/>
          <w:numId w:val="12"/>
        </w:numPr>
        <w:spacing w:after="240" w:line="240" w:lineRule="auto"/>
        <w:jc w:val="both"/>
      </w:pPr>
      <w:r w:rsidRPr="00B85BE3">
        <w:rPr>
          <w:b/>
        </w:rPr>
        <w:t>Plan de capacitación</w:t>
      </w:r>
      <w:r w:rsidRPr="00B85BE3">
        <w:t xml:space="preserve">: </w:t>
      </w:r>
      <w:r w:rsidR="006C1406" w:rsidRPr="00B85BE3">
        <w:t>Debe estar de acuerdo a</w:t>
      </w:r>
      <w:r w:rsidR="00DE01DB" w:rsidRPr="00B85BE3">
        <w:t>:</w:t>
      </w:r>
      <w:r w:rsidR="006C1406" w:rsidRPr="00B85BE3">
        <w:t xml:space="preserve"> los lineamientos del </w:t>
      </w:r>
      <w:r w:rsidRPr="00B85BE3">
        <w:t>mapa estratégico de</w:t>
      </w:r>
      <w:r w:rsidR="006C1406" w:rsidRPr="00B85BE3">
        <w:t xml:space="preserve">l </w:t>
      </w:r>
      <w:r w:rsidRPr="00B85BE3">
        <w:t>centro, realidad territorial</w:t>
      </w:r>
      <w:r w:rsidR="006C1406" w:rsidRPr="00B85BE3">
        <w:t>, necesidades de los clientes</w:t>
      </w:r>
      <w:r w:rsidRPr="00B85BE3">
        <w:t xml:space="preserve"> y experiencia de atención. </w:t>
      </w:r>
    </w:p>
    <w:p w:rsidR="006E3993" w:rsidRPr="00B85BE3" w:rsidRDefault="006E3993" w:rsidP="006E3993">
      <w:pPr>
        <w:pStyle w:val="Prrafodelista"/>
        <w:spacing w:after="240" w:line="240" w:lineRule="auto"/>
        <w:ind w:left="1571"/>
        <w:jc w:val="both"/>
      </w:pPr>
    </w:p>
    <w:p w:rsidR="00503D17" w:rsidRPr="00B85BE3" w:rsidRDefault="00503D17" w:rsidP="007F2DDA">
      <w:pPr>
        <w:rPr>
          <w:b/>
        </w:rPr>
      </w:pPr>
      <w:r w:rsidRPr="00B85BE3">
        <w:rPr>
          <w:b/>
        </w:rPr>
        <w:t>Presupuesto</w:t>
      </w:r>
    </w:p>
    <w:p w:rsidR="006E3993" w:rsidRPr="00B85BE3" w:rsidRDefault="002B23B5" w:rsidP="006E3993">
      <w:pPr>
        <w:pStyle w:val="Prrafodelista"/>
        <w:numPr>
          <w:ilvl w:val="0"/>
          <w:numId w:val="12"/>
        </w:numPr>
        <w:spacing w:after="240" w:line="240" w:lineRule="auto"/>
        <w:jc w:val="both"/>
      </w:pPr>
      <w:r w:rsidRPr="00B85BE3">
        <w:rPr>
          <w:b/>
        </w:rPr>
        <w:t>Ítem</w:t>
      </w:r>
      <w:r w:rsidR="006E3993" w:rsidRPr="00B85BE3">
        <w:rPr>
          <w:b/>
        </w:rPr>
        <w:t xml:space="preserve"> de marketing</w:t>
      </w:r>
      <w:r w:rsidR="006E3993" w:rsidRPr="00B85BE3">
        <w:t>: Los insertos y publicaciones sean por canales, en formato y con contenidos pertinentes, validado por la Gerencia de Comunicaciones, y complementarios a las actividades a desarrollar por los Centros</w:t>
      </w:r>
    </w:p>
    <w:p w:rsidR="006E3993" w:rsidRPr="00B85BE3" w:rsidRDefault="006E3993" w:rsidP="006E3993">
      <w:pPr>
        <w:pStyle w:val="Prrafodelista"/>
        <w:spacing w:after="240" w:line="240" w:lineRule="auto"/>
        <w:ind w:left="1571"/>
        <w:jc w:val="both"/>
      </w:pPr>
    </w:p>
    <w:p w:rsidR="006E3993" w:rsidRPr="00B85BE3" w:rsidRDefault="006E3993" w:rsidP="006E3993">
      <w:pPr>
        <w:pStyle w:val="Prrafodelista"/>
        <w:numPr>
          <w:ilvl w:val="0"/>
          <w:numId w:val="12"/>
        </w:numPr>
      </w:pPr>
      <w:r w:rsidRPr="00B85BE3">
        <w:rPr>
          <w:b/>
        </w:rPr>
        <w:t>Rendición:</w:t>
      </w:r>
      <w:r w:rsidRPr="00B85BE3">
        <w:t xml:space="preserve"> La responsabilidad de la rendición es 100% del operador</w:t>
      </w:r>
    </w:p>
    <w:p w:rsidR="006E3993" w:rsidRPr="00B85BE3" w:rsidRDefault="006E3993" w:rsidP="006E3993">
      <w:pPr>
        <w:pStyle w:val="Prrafodelista"/>
        <w:spacing w:after="240" w:line="240" w:lineRule="auto"/>
        <w:ind w:left="1571"/>
        <w:jc w:val="both"/>
      </w:pPr>
    </w:p>
    <w:p w:rsidR="00503D17" w:rsidRPr="00B85BE3" w:rsidRDefault="00503D17" w:rsidP="002B23B5">
      <w:pPr>
        <w:pStyle w:val="Prrafodelista"/>
        <w:numPr>
          <w:ilvl w:val="1"/>
          <w:numId w:val="11"/>
        </w:numPr>
        <w:spacing w:after="240" w:line="240" w:lineRule="auto"/>
        <w:ind w:left="851" w:hanging="425"/>
        <w:jc w:val="both"/>
        <w:rPr>
          <w:b/>
        </w:rPr>
      </w:pPr>
      <w:r w:rsidRPr="00B85BE3">
        <w:rPr>
          <w:b/>
        </w:rPr>
        <w:lastRenderedPageBreak/>
        <w:t>Otros relevantes</w:t>
      </w:r>
    </w:p>
    <w:p w:rsidR="00031F2D" w:rsidRPr="00B85BE3" w:rsidRDefault="00031F2D" w:rsidP="00031F2D">
      <w:pPr>
        <w:pStyle w:val="Prrafodelista"/>
        <w:numPr>
          <w:ilvl w:val="0"/>
          <w:numId w:val="12"/>
        </w:numPr>
        <w:spacing w:after="240" w:line="240" w:lineRule="auto"/>
        <w:jc w:val="both"/>
      </w:pPr>
      <w:r w:rsidRPr="00B85BE3">
        <w:rPr>
          <w:b/>
        </w:rPr>
        <w:t>Mapa estratégico del centro</w:t>
      </w:r>
      <w:r w:rsidRPr="00B85BE3">
        <w:t>: Considerar su actualización permanente según necesidad y debe ser conocido por el equipo de trabajo. Para el segundo año de ejecución identificar el sello distintivo del centro, conforme la vocación productiva y ejes estratégicos de desarrollo económico del territorio, resultado de lo anterior deberá verse reflejado en el plan de acción del centro.</w:t>
      </w:r>
    </w:p>
    <w:p w:rsidR="006E3993" w:rsidRPr="00B85BE3" w:rsidRDefault="002C4C51" w:rsidP="002C4C51">
      <w:pPr>
        <w:pStyle w:val="Prrafodelista"/>
        <w:spacing w:after="240" w:line="240" w:lineRule="auto"/>
        <w:ind w:left="1571"/>
        <w:jc w:val="both"/>
      </w:pPr>
      <w:r w:rsidRPr="00B85BE3">
        <w:t>Las metas de impacto y las variables de gestión del centro deben ser conocidas por todo el equipo  de trabajo, cada integrante debe estar conocimiento de su meta individual y como contribuye al resultado del centro en su conjunto.</w:t>
      </w:r>
    </w:p>
    <w:p w:rsidR="002C4C51" w:rsidRPr="00B85BE3" w:rsidRDefault="002C4C51" w:rsidP="002C4C51">
      <w:pPr>
        <w:pStyle w:val="Prrafodelista"/>
        <w:spacing w:after="240" w:line="240" w:lineRule="auto"/>
        <w:ind w:left="1571"/>
        <w:jc w:val="both"/>
      </w:pPr>
    </w:p>
    <w:p w:rsidR="006E3993" w:rsidRPr="00B85BE3" w:rsidRDefault="006E3993" w:rsidP="006E3993">
      <w:pPr>
        <w:pStyle w:val="Prrafodelista"/>
        <w:numPr>
          <w:ilvl w:val="0"/>
          <w:numId w:val="12"/>
        </w:numPr>
        <w:spacing w:after="240" w:line="240" w:lineRule="auto"/>
        <w:jc w:val="both"/>
      </w:pPr>
      <w:r w:rsidRPr="00B85BE3">
        <w:rPr>
          <w:b/>
        </w:rPr>
        <w:t>Directorio del Centro:</w:t>
      </w:r>
      <w:r w:rsidRPr="00B85BE3">
        <w:t xml:space="preserve"> asegurar sesiones periódicas, con asistencia efectiva, en conocimiento del Mapa estratégico del Centro y focos estratégicos de acción. En caso de requerir cambio de integrantes, realizar solicitud justificada a contraparte regional para su evaluación.</w:t>
      </w:r>
    </w:p>
    <w:p w:rsidR="002C4C51" w:rsidRPr="00B85BE3" w:rsidRDefault="002C4C51" w:rsidP="002C4C51">
      <w:pPr>
        <w:pStyle w:val="Prrafodelista"/>
        <w:spacing w:after="240" w:line="240" w:lineRule="auto"/>
        <w:ind w:left="1571"/>
        <w:jc w:val="both"/>
      </w:pPr>
    </w:p>
    <w:p w:rsidR="00A663ED" w:rsidRPr="00B85BE3" w:rsidRDefault="002C4C51" w:rsidP="00A663ED">
      <w:pPr>
        <w:pStyle w:val="Prrafodelista"/>
        <w:numPr>
          <w:ilvl w:val="0"/>
          <w:numId w:val="12"/>
        </w:numPr>
        <w:spacing w:after="240" w:line="240" w:lineRule="auto"/>
        <w:jc w:val="both"/>
      </w:pPr>
      <w:r w:rsidRPr="00B85BE3">
        <w:rPr>
          <w:b/>
        </w:rPr>
        <w:t>Modelo de acreditación:</w:t>
      </w:r>
      <w:r w:rsidRPr="00B85BE3">
        <w:t xml:space="preserve"> </w:t>
      </w:r>
      <w:r w:rsidR="00A663ED" w:rsidRPr="00B85BE3">
        <w:t>Para lograr la consolidación de los Ce</w:t>
      </w:r>
      <w:r w:rsidR="00A1491A" w:rsidRPr="00B85BE3">
        <w:t>ntros de Desarrollo de Negocios</w:t>
      </w:r>
      <w:r w:rsidR="00A663ED" w:rsidRPr="00B85BE3">
        <w:t>, se hace necesario establecer estándares de acreditación que garanticen el cumplimiento de requisitos mínimos de calidad, tanto en su gestión como en los servicios que entregan. Es así, como se diseña un Modelo de Acreditación basado en el modelo utilizado por SBA en EE.UU., con el propósito de que los Centros de Desarrollo de Negocios mejoren su gestión y cuenten con una herramienta para evaluar e identificar las áreas de mejoras. Todos los integrantes del equipo de trabajo del Centro están obligados a conocer, comprender y poner en práctica valores y conceptos asociados al modelo descrito en el M</w:t>
      </w:r>
      <w:r w:rsidRPr="00B85BE3">
        <w:t>anual de Operación</w:t>
      </w:r>
      <w:r w:rsidR="00A663ED" w:rsidRPr="00B85BE3">
        <w:t>.</w:t>
      </w:r>
    </w:p>
    <w:p w:rsidR="00A663ED" w:rsidRPr="00B85BE3" w:rsidRDefault="00A663ED" w:rsidP="00A663ED">
      <w:pPr>
        <w:pStyle w:val="Prrafodelista"/>
      </w:pPr>
    </w:p>
    <w:p w:rsidR="002C4C51" w:rsidRDefault="00A663ED" w:rsidP="00A663ED">
      <w:pPr>
        <w:pStyle w:val="Prrafodelista"/>
        <w:spacing w:after="240" w:line="240" w:lineRule="auto"/>
        <w:ind w:left="1571"/>
        <w:jc w:val="both"/>
      </w:pPr>
      <w:r w:rsidRPr="00B85BE3">
        <w:t xml:space="preserve">Sercotec apoyará </w:t>
      </w:r>
      <w:r w:rsidR="005275F4" w:rsidRPr="00B85BE3">
        <w:t xml:space="preserve">en una segunda fase a </w:t>
      </w:r>
      <w:r w:rsidR="002C4C51" w:rsidRPr="00B85BE3">
        <w:t>tran</w:t>
      </w:r>
      <w:r w:rsidR="00A74EDE" w:rsidRPr="00B85BE3">
        <w:t>sferir el modelo a los centros</w:t>
      </w:r>
      <w:r w:rsidR="005275F4" w:rsidRPr="00B85BE3">
        <w:t>.</w:t>
      </w:r>
    </w:p>
    <w:p w:rsidR="00EA3F0F" w:rsidRDefault="00EA3F0F">
      <w:pPr>
        <w:rPr>
          <w:b/>
        </w:rPr>
      </w:pPr>
    </w:p>
    <w:p w:rsidR="00F04CD4" w:rsidRPr="00503D17" w:rsidRDefault="007544AE" w:rsidP="00F04CD4">
      <w:pPr>
        <w:jc w:val="both"/>
        <w:rPr>
          <w:b/>
        </w:rPr>
      </w:pPr>
      <w:r w:rsidRPr="00503D17">
        <w:rPr>
          <w:b/>
        </w:rPr>
        <w:t>Para constancia firman:</w:t>
      </w:r>
    </w:p>
    <w:p w:rsidR="007544AE" w:rsidRDefault="007544AE" w:rsidP="00F04CD4">
      <w:pPr>
        <w:jc w:val="both"/>
        <w:rPr>
          <w:b/>
        </w:rPr>
      </w:pPr>
    </w:p>
    <w:p w:rsidR="007544AE" w:rsidRPr="00503D17" w:rsidRDefault="007544AE" w:rsidP="00F04CD4">
      <w:pPr>
        <w:jc w:val="both"/>
        <w:rPr>
          <w:b/>
        </w:rPr>
      </w:pPr>
    </w:p>
    <w:p w:rsidR="007544AE" w:rsidRPr="00503D17" w:rsidRDefault="007544AE" w:rsidP="00F04CD4">
      <w:pPr>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8"/>
        <w:gridCol w:w="4334"/>
      </w:tblGrid>
      <w:tr w:rsidR="00CD0C63" w:rsidRPr="007F2DDA" w:rsidTr="00CD0C63">
        <w:trPr>
          <w:trHeight w:val="935"/>
        </w:trPr>
        <w:tc>
          <w:tcPr>
            <w:tcW w:w="3936" w:type="dxa"/>
            <w:tcBorders>
              <w:top w:val="single" w:sz="4" w:space="0" w:color="auto"/>
            </w:tcBorders>
          </w:tcPr>
          <w:p w:rsidR="0080626A" w:rsidRDefault="0080626A" w:rsidP="0080626A">
            <w:pPr>
              <w:jc w:val="center"/>
              <w:rPr>
                <w:b/>
              </w:rPr>
            </w:pPr>
            <w:r>
              <w:rPr>
                <w:b/>
              </w:rPr>
              <w:t>VICTOR MONZÓN</w:t>
            </w:r>
          </w:p>
          <w:p w:rsidR="0080626A" w:rsidRDefault="0080626A" w:rsidP="0080626A">
            <w:pPr>
              <w:jc w:val="center"/>
              <w:rPr>
                <w:b/>
              </w:rPr>
            </w:pPr>
            <w:r w:rsidRPr="007156ED">
              <w:rPr>
                <w:b/>
              </w:rPr>
              <w:t xml:space="preserve">VICERRECTOR </w:t>
            </w:r>
          </w:p>
          <w:p w:rsidR="003B7506" w:rsidRPr="00503D17" w:rsidRDefault="0080626A" w:rsidP="0080626A">
            <w:pPr>
              <w:jc w:val="center"/>
              <w:rPr>
                <w:b/>
              </w:rPr>
            </w:pPr>
            <w:r>
              <w:rPr>
                <w:b/>
              </w:rPr>
              <w:t>UNIVERSIDAD CATÓLICA DEL MAULE</w:t>
            </w:r>
          </w:p>
        </w:tc>
        <w:tc>
          <w:tcPr>
            <w:tcW w:w="708" w:type="dxa"/>
          </w:tcPr>
          <w:p w:rsidR="00CD0C63" w:rsidRPr="00503D17" w:rsidRDefault="00CD0C63" w:rsidP="00F04CD4">
            <w:pPr>
              <w:jc w:val="both"/>
              <w:rPr>
                <w:b/>
              </w:rPr>
            </w:pPr>
          </w:p>
        </w:tc>
        <w:tc>
          <w:tcPr>
            <w:tcW w:w="4334" w:type="dxa"/>
            <w:tcBorders>
              <w:top w:val="single" w:sz="4" w:space="0" w:color="auto"/>
            </w:tcBorders>
          </w:tcPr>
          <w:p w:rsidR="0080626A" w:rsidRPr="002B23B5" w:rsidRDefault="0080626A" w:rsidP="0080626A">
            <w:pPr>
              <w:jc w:val="center"/>
              <w:rPr>
                <w:b/>
              </w:rPr>
            </w:pPr>
            <w:r w:rsidRPr="002B23B5">
              <w:rPr>
                <w:b/>
              </w:rPr>
              <w:t>XIMENA MOYA ROA</w:t>
            </w:r>
          </w:p>
          <w:p w:rsidR="0080626A" w:rsidRPr="002B23B5" w:rsidRDefault="0080626A" w:rsidP="0080626A">
            <w:pPr>
              <w:jc w:val="center"/>
              <w:rPr>
                <w:b/>
              </w:rPr>
            </w:pPr>
            <w:r w:rsidRPr="002B23B5">
              <w:rPr>
                <w:b/>
              </w:rPr>
              <w:t xml:space="preserve">GERENTE DE CENTROS DE DESARROLLO DE NEGOCIOS </w:t>
            </w:r>
          </w:p>
          <w:p w:rsidR="000F5D06" w:rsidRPr="00B85BE3" w:rsidRDefault="0080626A" w:rsidP="0080626A">
            <w:pPr>
              <w:jc w:val="center"/>
              <w:rPr>
                <w:b/>
              </w:rPr>
            </w:pPr>
            <w:r w:rsidRPr="002B23B5">
              <w:rPr>
                <w:b/>
              </w:rPr>
              <w:t>SERCOTEC</w:t>
            </w:r>
          </w:p>
        </w:tc>
      </w:tr>
    </w:tbl>
    <w:p w:rsidR="00F04CD4" w:rsidRPr="00B85BE3" w:rsidRDefault="00F04CD4" w:rsidP="0080626A">
      <w:pPr>
        <w:jc w:val="both"/>
        <w:rPr>
          <w:b/>
        </w:rPr>
      </w:pPr>
    </w:p>
    <w:sectPr w:rsidR="00F04CD4" w:rsidRPr="00B85BE3" w:rsidSect="006E3993">
      <w:headerReference w:type="default" r:id="rId9"/>
      <w:footerReference w:type="default" r:id="rId10"/>
      <w:pgSz w:w="12240" w:h="15840"/>
      <w:pgMar w:top="1417" w:right="1701" w:bottom="1417" w:left="1701"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52" w:rsidRDefault="00061C52" w:rsidP="007853E4">
      <w:pPr>
        <w:spacing w:after="0" w:line="240" w:lineRule="auto"/>
      </w:pPr>
      <w:r>
        <w:separator/>
      </w:r>
    </w:p>
  </w:endnote>
  <w:endnote w:type="continuationSeparator" w:id="0">
    <w:p w:rsidR="00061C52" w:rsidRDefault="00061C52" w:rsidP="0078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049260"/>
      <w:docPartObj>
        <w:docPartGallery w:val="Page Numbers (Bottom of Page)"/>
        <w:docPartUnique/>
      </w:docPartObj>
    </w:sdtPr>
    <w:sdtEndPr/>
    <w:sdtContent>
      <w:p w:rsidR="007853E4" w:rsidRDefault="007853E4">
        <w:pPr>
          <w:pStyle w:val="Piedepgina"/>
          <w:jc w:val="right"/>
        </w:pPr>
        <w:r>
          <w:fldChar w:fldCharType="begin"/>
        </w:r>
        <w:r>
          <w:instrText>PAGE   \* MERGEFORMAT</w:instrText>
        </w:r>
        <w:r>
          <w:fldChar w:fldCharType="separate"/>
        </w:r>
        <w:r w:rsidR="00891FA7" w:rsidRPr="00891FA7">
          <w:rPr>
            <w:noProof/>
            <w:lang w:val="es-ES"/>
          </w:rPr>
          <w:t>3</w:t>
        </w:r>
        <w:r>
          <w:fldChar w:fldCharType="end"/>
        </w:r>
        <w:r w:rsidR="00CD0C63">
          <w:t xml:space="preserve"> de </w:t>
        </w:r>
        <w:r w:rsidR="006D0800">
          <w:t>5</w:t>
        </w:r>
      </w:p>
    </w:sdtContent>
  </w:sdt>
  <w:p w:rsidR="007853E4" w:rsidRDefault="007853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52" w:rsidRDefault="00061C52" w:rsidP="007853E4">
      <w:pPr>
        <w:spacing w:after="0" w:line="240" w:lineRule="auto"/>
      </w:pPr>
      <w:r>
        <w:separator/>
      </w:r>
    </w:p>
  </w:footnote>
  <w:footnote w:type="continuationSeparator" w:id="0">
    <w:p w:rsidR="00061C52" w:rsidRDefault="00061C52" w:rsidP="00785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E4" w:rsidRDefault="00AC4491">
    <w:pPr>
      <w:pStyle w:val="Encabezado"/>
    </w:pPr>
    <w:r>
      <w:rPr>
        <w:noProof/>
        <w:lang w:eastAsia="es-CL"/>
      </w:rPr>
      <w:drawing>
        <wp:inline distT="0" distB="0" distL="0" distR="0" wp14:anchorId="79DB6940" wp14:editId="7161AC7D">
          <wp:extent cx="669290" cy="53467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 cy="534670"/>
                  </a:xfrm>
                  <a:prstGeom prst="rect">
                    <a:avLst/>
                  </a:prstGeom>
                </pic:spPr>
              </pic:pic>
            </a:graphicData>
          </a:graphic>
        </wp:inline>
      </w:drawing>
    </w:r>
  </w:p>
  <w:p w:rsidR="007853E4" w:rsidRPr="001E0BF5" w:rsidRDefault="007853E4" w:rsidP="007853E4">
    <w:pPr>
      <w:shd w:val="clear" w:color="auto" w:fill="404040" w:themeFill="text1" w:themeFillTint="BF"/>
      <w:jc w:val="center"/>
      <w:rPr>
        <w:b/>
        <w:sz w:val="32"/>
      </w:rPr>
    </w:pPr>
    <w:r w:rsidRPr="001E0BF5">
      <w:rPr>
        <w:b/>
        <w:color w:val="FFFFFF" w:themeColor="background1"/>
        <w:sz w:val="40"/>
      </w:rPr>
      <w:t>ACTA DE ACUERDO DE NEGOCIACIÓN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8C"/>
    <w:multiLevelType w:val="hybridMultilevel"/>
    <w:tmpl w:val="DC02F85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46C414D"/>
    <w:multiLevelType w:val="hybridMultilevel"/>
    <w:tmpl w:val="DAE2A1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DE2315"/>
    <w:multiLevelType w:val="hybridMultilevel"/>
    <w:tmpl w:val="3712F8D4"/>
    <w:lvl w:ilvl="0" w:tplc="340A000D">
      <w:start w:val="1"/>
      <w:numFmt w:val="bullet"/>
      <w:lvlText w:val=""/>
      <w:lvlJc w:val="left"/>
      <w:pPr>
        <w:ind w:left="2520" w:hanging="360"/>
      </w:pPr>
      <w:rPr>
        <w:rFonts w:ascii="Wingdings" w:hAnsi="Wingdings" w:hint="default"/>
      </w:rPr>
    </w:lvl>
    <w:lvl w:ilvl="1" w:tplc="340A0003">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3">
    <w:nsid w:val="174D113B"/>
    <w:multiLevelType w:val="hybridMultilevel"/>
    <w:tmpl w:val="7ABE61B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4">
    <w:nsid w:val="17BF24B7"/>
    <w:multiLevelType w:val="hybridMultilevel"/>
    <w:tmpl w:val="3B94067A"/>
    <w:lvl w:ilvl="0" w:tplc="340A0001">
      <w:start w:val="1"/>
      <w:numFmt w:val="bullet"/>
      <w:lvlText w:val=""/>
      <w:lvlJc w:val="left"/>
      <w:pPr>
        <w:ind w:left="803" w:hanging="360"/>
      </w:pPr>
      <w:rPr>
        <w:rFonts w:ascii="Symbol" w:hAnsi="Symbol" w:hint="default"/>
      </w:rPr>
    </w:lvl>
    <w:lvl w:ilvl="1" w:tplc="340A0003">
      <w:start w:val="1"/>
      <w:numFmt w:val="bullet"/>
      <w:lvlText w:val="o"/>
      <w:lvlJc w:val="left"/>
      <w:pPr>
        <w:ind w:left="1523" w:hanging="360"/>
      </w:pPr>
      <w:rPr>
        <w:rFonts w:ascii="Courier New" w:hAnsi="Courier New" w:cs="Courier New" w:hint="default"/>
      </w:rPr>
    </w:lvl>
    <w:lvl w:ilvl="2" w:tplc="340A0005">
      <w:start w:val="1"/>
      <w:numFmt w:val="bullet"/>
      <w:lvlText w:val=""/>
      <w:lvlJc w:val="left"/>
      <w:pPr>
        <w:ind w:left="2243" w:hanging="360"/>
      </w:pPr>
      <w:rPr>
        <w:rFonts w:ascii="Wingdings" w:hAnsi="Wingdings" w:hint="default"/>
      </w:rPr>
    </w:lvl>
    <w:lvl w:ilvl="3" w:tplc="340A0001">
      <w:start w:val="1"/>
      <w:numFmt w:val="bullet"/>
      <w:lvlText w:val=""/>
      <w:lvlJc w:val="left"/>
      <w:pPr>
        <w:ind w:left="2963" w:hanging="360"/>
      </w:pPr>
      <w:rPr>
        <w:rFonts w:ascii="Symbol" w:hAnsi="Symbol" w:hint="default"/>
      </w:rPr>
    </w:lvl>
    <w:lvl w:ilvl="4" w:tplc="340A0003">
      <w:start w:val="1"/>
      <w:numFmt w:val="bullet"/>
      <w:lvlText w:val="o"/>
      <w:lvlJc w:val="left"/>
      <w:pPr>
        <w:ind w:left="3683" w:hanging="360"/>
      </w:pPr>
      <w:rPr>
        <w:rFonts w:ascii="Courier New" w:hAnsi="Courier New" w:cs="Courier New" w:hint="default"/>
      </w:rPr>
    </w:lvl>
    <w:lvl w:ilvl="5" w:tplc="340A0005">
      <w:start w:val="1"/>
      <w:numFmt w:val="bullet"/>
      <w:lvlText w:val=""/>
      <w:lvlJc w:val="left"/>
      <w:pPr>
        <w:ind w:left="4403" w:hanging="360"/>
      </w:pPr>
      <w:rPr>
        <w:rFonts w:ascii="Wingdings" w:hAnsi="Wingdings" w:hint="default"/>
      </w:rPr>
    </w:lvl>
    <w:lvl w:ilvl="6" w:tplc="340A0001">
      <w:start w:val="1"/>
      <w:numFmt w:val="bullet"/>
      <w:lvlText w:val=""/>
      <w:lvlJc w:val="left"/>
      <w:pPr>
        <w:ind w:left="5123" w:hanging="360"/>
      </w:pPr>
      <w:rPr>
        <w:rFonts w:ascii="Symbol" w:hAnsi="Symbol" w:hint="default"/>
      </w:rPr>
    </w:lvl>
    <w:lvl w:ilvl="7" w:tplc="340A0003">
      <w:start w:val="1"/>
      <w:numFmt w:val="bullet"/>
      <w:lvlText w:val="o"/>
      <w:lvlJc w:val="left"/>
      <w:pPr>
        <w:ind w:left="5843" w:hanging="360"/>
      </w:pPr>
      <w:rPr>
        <w:rFonts w:ascii="Courier New" w:hAnsi="Courier New" w:cs="Courier New" w:hint="default"/>
      </w:rPr>
    </w:lvl>
    <w:lvl w:ilvl="8" w:tplc="340A0005">
      <w:start w:val="1"/>
      <w:numFmt w:val="bullet"/>
      <w:lvlText w:val=""/>
      <w:lvlJc w:val="left"/>
      <w:pPr>
        <w:ind w:left="6563" w:hanging="360"/>
      </w:pPr>
      <w:rPr>
        <w:rFonts w:ascii="Wingdings" w:hAnsi="Wingdings" w:hint="default"/>
      </w:rPr>
    </w:lvl>
  </w:abstractNum>
  <w:abstractNum w:abstractNumId="5">
    <w:nsid w:val="20A63355"/>
    <w:multiLevelType w:val="hybridMultilevel"/>
    <w:tmpl w:val="E8DC0404"/>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12F433D"/>
    <w:multiLevelType w:val="hybridMultilevel"/>
    <w:tmpl w:val="9F2CF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21D6152"/>
    <w:multiLevelType w:val="hybridMultilevel"/>
    <w:tmpl w:val="872C1B8A"/>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8">
    <w:nsid w:val="2D8A455C"/>
    <w:multiLevelType w:val="hybridMultilevel"/>
    <w:tmpl w:val="E8DC0404"/>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0C6655A"/>
    <w:multiLevelType w:val="hybridMultilevel"/>
    <w:tmpl w:val="4DDA2FEE"/>
    <w:lvl w:ilvl="0" w:tplc="340A0001">
      <w:start w:val="1"/>
      <w:numFmt w:val="bullet"/>
      <w:lvlText w:val=""/>
      <w:lvlJc w:val="left"/>
      <w:pPr>
        <w:ind w:left="833" w:hanging="360"/>
      </w:pPr>
      <w:rPr>
        <w:rFonts w:ascii="Symbol" w:hAnsi="Symbol" w:hint="default"/>
      </w:rPr>
    </w:lvl>
    <w:lvl w:ilvl="1" w:tplc="340A0003">
      <w:start w:val="1"/>
      <w:numFmt w:val="bullet"/>
      <w:lvlText w:val="o"/>
      <w:lvlJc w:val="left"/>
      <w:pPr>
        <w:ind w:left="1553" w:hanging="360"/>
      </w:pPr>
      <w:rPr>
        <w:rFonts w:ascii="Courier New" w:hAnsi="Courier New" w:cs="Courier New" w:hint="default"/>
      </w:rPr>
    </w:lvl>
    <w:lvl w:ilvl="2" w:tplc="340A0005">
      <w:start w:val="1"/>
      <w:numFmt w:val="bullet"/>
      <w:lvlText w:val=""/>
      <w:lvlJc w:val="left"/>
      <w:pPr>
        <w:ind w:left="2273" w:hanging="360"/>
      </w:pPr>
      <w:rPr>
        <w:rFonts w:ascii="Wingdings" w:hAnsi="Wingdings" w:hint="default"/>
      </w:rPr>
    </w:lvl>
    <w:lvl w:ilvl="3" w:tplc="340A0001">
      <w:start w:val="1"/>
      <w:numFmt w:val="bullet"/>
      <w:lvlText w:val=""/>
      <w:lvlJc w:val="left"/>
      <w:pPr>
        <w:ind w:left="2993" w:hanging="360"/>
      </w:pPr>
      <w:rPr>
        <w:rFonts w:ascii="Symbol" w:hAnsi="Symbol" w:hint="default"/>
      </w:rPr>
    </w:lvl>
    <w:lvl w:ilvl="4" w:tplc="340A0003">
      <w:start w:val="1"/>
      <w:numFmt w:val="bullet"/>
      <w:lvlText w:val="o"/>
      <w:lvlJc w:val="left"/>
      <w:pPr>
        <w:ind w:left="3713" w:hanging="360"/>
      </w:pPr>
      <w:rPr>
        <w:rFonts w:ascii="Courier New" w:hAnsi="Courier New" w:cs="Courier New" w:hint="default"/>
      </w:rPr>
    </w:lvl>
    <w:lvl w:ilvl="5" w:tplc="340A0005">
      <w:start w:val="1"/>
      <w:numFmt w:val="bullet"/>
      <w:lvlText w:val=""/>
      <w:lvlJc w:val="left"/>
      <w:pPr>
        <w:ind w:left="4433" w:hanging="360"/>
      </w:pPr>
      <w:rPr>
        <w:rFonts w:ascii="Wingdings" w:hAnsi="Wingdings" w:hint="default"/>
      </w:rPr>
    </w:lvl>
    <w:lvl w:ilvl="6" w:tplc="340A0001">
      <w:start w:val="1"/>
      <w:numFmt w:val="bullet"/>
      <w:lvlText w:val=""/>
      <w:lvlJc w:val="left"/>
      <w:pPr>
        <w:ind w:left="5153" w:hanging="360"/>
      </w:pPr>
      <w:rPr>
        <w:rFonts w:ascii="Symbol" w:hAnsi="Symbol" w:hint="default"/>
      </w:rPr>
    </w:lvl>
    <w:lvl w:ilvl="7" w:tplc="340A0003">
      <w:start w:val="1"/>
      <w:numFmt w:val="bullet"/>
      <w:lvlText w:val="o"/>
      <w:lvlJc w:val="left"/>
      <w:pPr>
        <w:ind w:left="5873" w:hanging="360"/>
      </w:pPr>
      <w:rPr>
        <w:rFonts w:ascii="Courier New" w:hAnsi="Courier New" w:cs="Courier New" w:hint="default"/>
      </w:rPr>
    </w:lvl>
    <w:lvl w:ilvl="8" w:tplc="340A0005">
      <w:start w:val="1"/>
      <w:numFmt w:val="bullet"/>
      <w:lvlText w:val=""/>
      <w:lvlJc w:val="left"/>
      <w:pPr>
        <w:ind w:left="6593" w:hanging="360"/>
      </w:pPr>
      <w:rPr>
        <w:rFonts w:ascii="Wingdings" w:hAnsi="Wingdings" w:hint="default"/>
      </w:rPr>
    </w:lvl>
  </w:abstractNum>
  <w:abstractNum w:abstractNumId="10">
    <w:nsid w:val="37544306"/>
    <w:multiLevelType w:val="hybridMultilevel"/>
    <w:tmpl w:val="6FF46E7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399420C8"/>
    <w:multiLevelType w:val="hybridMultilevel"/>
    <w:tmpl w:val="B4F24FE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nsid w:val="3CFB2C2F"/>
    <w:multiLevelType w:val="hybridMultilevel"/>
    <w:tmpl w:val="7236F6FC"/>
    <w:lvl w:ilvl="0" w:tplc="340A000D">
      <w:start w:val="1"/>
      <w:numFmt w:val="bullet"/>
      <w:lvlText w:val=""/>
      <w:lvlJc w:val="left"/>
      <w:pPr>
        <w:ind w:left="1571" w:hanging="360"/>
      </w:pPr>
      <w:rPr>
        <w:rFonts w:ascii="Wingdings" w:hAnsi="Wingdings" w:hint="default"/>
      </w:rPr>
    </w:lvl>
    <w:lvl w:ilvl="1" w:tplc="340A0003">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3">
    <w:nsid w:val="434620F7"/>
    <w:multiLevelType w:val="hybridMultilevel"/>
    <w:tmpl w:val="C3A66A4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1C548D"/>
    <w:multiLevelType w:val="hybridMultilevel"/>
    <w:tmpl w:val="E46CC08A"/>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5">
    <w:nsid w:val="4EFF654F"/>
    <w:multiLevelType w:val="hybridMultilevel"/>
    <w:tmpl w:val="9280C916"/>
    <w:lvl w:ilvl="0" w:tplc="34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D6118D7"/>
    <w:multiLevelType w:val="hybridMultilevel"/>
    <w:tmpl w:val="3C34EA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0E61A27"/>
    <w:multiLevelType w:val="hybridMultilevel"/>
    <w:tmpl w:val="EC32E37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8">
    <w:nsid w:val="65F24E63"/>
    <w:multiLevelType w:val="hybridMultilevel"/>
    <w:tmpl w:val="FD403868"/>
    <w:lvl w:ilvl="0" w:tplc="340A0001">
      <w:start w:val="1"/>
      <w:numFmt w:val="bullet"/>
      <w:lvlText w:val=""/>
      <w:lvlJc w:val="left"/>
      <w:pPr>
        <w:ind w:left="882" w:hanging="360"/>
      </w:pPr>
      <w:rPr>
        <w:rFonts w:ascii="Symbol" w:hAnsi="Symbol" w:hint="default"/>
      </w:rPr>
    </w:lvl>
    <w:lvl w:ilvl="1" w:tplc="340A0003">
      <w:start w:val="1"/>
      <w:numFmt w:val="bullet"/>
      <w:lvlText w:val="o"/>
      <w:lvlJc w:val="left"/>
      <w:pPr>
        <w:ind w:left="1602" w:hanging="360"/>
      </w:pPr>
      <w:rPr>
        <w:rFonts w:ascii="Courier New" w:hAnsi="Courier New" w:cs="Courier New" w:hint="default"/>
      </w:rPr>
    </w:lvl>
    <w:lvl w:ilvl="2" w:tplc="340A0005">
      <w:start w:val="1"/>
      <w:numFmt w:val="bullet"/>
      <w:lvlText w:val=""/>
      <w:lvlJc w:val="left"/>
      <w:pPr>
        <w:ind w:left="2322" w:hanging="360"/>
      </w:pPr>
      <w:rPr>
        <w:rFonts w:ascii="Wingdings" w:hAnsi="Wingdings" w:hint="default"/>
      </w:rPr>
    </w:lvl>
    <w:lvl w:ilvl="3" w:tplc="340A0001">
      <w:start w:val="1"/>
      <w:numFmt w:val="bullet"/>
      <w:lvlText w:val=""/>
      <w:lvlJc w:val="left"/>
      <w:pPr>
        <w:ind w:left="3042" w:hanging="360"/>
      </w:pPr>
      <w:rPr>
        <w:rFonts w:ascii="Symbol" w:hAnsi="Symbol" w:hint="default"/>
      </w:rPr>
    </w:lvl>
    <w:lvl w:ilvl="4" w:tplc="340A0003">
      <w:start w:val="1"/>
      <w:numFmt w:val="bullet"/>
      <w:lvlText w:val="o"/>
      <w:lvlJc w:val="left"/>
      <w:pPr>
        <w:ind w:left="3762" w:hanging="360"/>
      </w:pPr>
      <w:rPr>
        <w:rFonts w:ascii="Courier New" w:hAnsi="Courier New" w:cs="Courier New" w:hint="default"/>
      </w:rPr>
    </w:lvl>
    <w:lvl w:ilvl="5" w:tplc="340A0005">
      <w:start w:val="1"/>
      <w:numFmt w:val="bullet"/>
      <w:lvlText w:val=""/>
      <w:lvlJc w:val="left"/>
      <w:pPr>
        <w:ind w:left="4482" w:hanging="360"/>
      </w:pPr>
      <w:rPr>
        <w:rFonts w:ascii="Wingdings" w:hAnsi="Wingdings" w:hint="default"/>
      </w:rPr>
    </w:lvl>
    <w:lvl w:ilvl="6" w:tplc="340A0001">
      <w:start w:val="1"/>
      <w:numFmt w:val="bullet"/>
      <w:lvlText w:val=""/>
      <w:lvlJc w:val="left"/>
      <w:pPr>
        <w:ind w:left="5202" w:hanging="360"/>
      </w:pPr>
      <w:rPr>
        <w:rFonts w:ascii="Symbol" w:hAnsi="Symbol" w:hint="default"/>
      </w:rPr>
    </w:lvl>
    <w:lvl w:ilvl="7" w:tplc="340A0003">
      <w:start w:val="1"/>
      <w:numFmt w:val="bullet"/>
      <w:lvlText w:val="o"/>
      <w:lvlJc w:val="left"/>
      <w:pPr>
        <w:ind w:left="5922" w:hanging="360"/>
      </w:pPr>
      <w:rPr>
        <w:rFonts w:ascii="Courier New" w:hAnsi="Courier New" w:cs="Courier New" w:hint="default"/>
      </w:rPr>
    </w:lvl>
    <w:lvl w:ilvl="8" w:tplc="340A0005">
      <w:start w:val="1"/>
      <w:numFmt w:val="bullet"/>
      <w:lvlText w:val=""/>
      <w:lvlJc w:val="left"/>
      <w:pPr>
        <w:ind w:left="6642" w:hanging="360"/>
      </w:pPr>
      <w:rPr>
        <w:rFonts w:ascii="Wingdings" w:hAnsi="Wingdings" w:hint="default"/>
      </w:rPr>
    </w:lvl>
  </w:abstractNum>
  <w:abstractNum w:abstractNumId="19">
    <w:nsid w:val="79254B8D"/>
    <w:multiLevelType w:val="hybridMultilevel"/>
    <w:tmpl w:val="6D38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0">
    <w:nsid w:val="7B036B42"/>
    <w:multiLevelType w:val="hybridMultilevel"/>
    <w:tmpl w:val="85D236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20"/>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0"/>
  </w:num>
  <w:num w:numId="14">
    <w:abstractNumId w:val="18"/>
  </w:num>
  <w:num w:numId="15">
    <w:abstractNumId w:val="0"/>
  </w:num>
  <w:num w:numId="16">
    <w:abstractNumId w:val="15"/>
  </w:num>
  <w:num w:numId="17">
    <w:abstractNumId w:val="4"/>
  </w:num>
  <w:num w:numId="18">
    <w:abstractNumId w:val="9"/>
  </w:num>
  <w:num w:numId="19">
    <w:abstractNumId w:val="16"/>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F5"/>
    <w:rsid w:val="00026AB9"/>
    <w:rsid w:val="00031F2D"/>
    <w:rsid w:val="00061C52"/>
    <w:rsid w:val="000843E8"/>
    <w:rsid w:val="000B5EEA"/>
    <w:rsid w:val="000E268F"/>
    <w:rsid w:val="000F058A"/>
    <w:rsid w:val="000F2330"/>
    <w:rsid w:val="000F5D06"/>
    <w:rsid w:val="00103125"/>
    <w:rsid w:val="0012098A"/>
    <w:rsid w:val="001331D1"/>
    <w:rsid w:val="00147E43"/>
    <w:rsid w:val="001B65A2"/>
    <w:rsid w:val="001C34F1"/>
    <w:rsid w:val="001E0BF5"/>
    <w:rsid w:val="001F7910"/>
    <w:rsid w:val="002059EB"/>
    <w:rsid w:val="00215AC5"/>
    <w:rsid w:val="00220691"/>
    <w:rsid w:val="00221B88"/>
    <w:rsid w:val="00234097"/>
    <w:rsid w:val="00261700"/>
    <w:rsid w:val="002A4D27"/>
    <w:rsid w:val="002B23B5"/>
    <w:rsid w:val="002C4C51"/>
    <w:rsid w:val="002D2B86"/>
    <w:rsid w:val="002E2C2A"/>
    <w:rsid w:val="00301C66"/>
    <w:rsid w:val="00335B4A"/>
    <w:rsid w:val="003525C7"/>
    <w:rsid w:val="003B7506"/>
    <w:rsid w:val="004108BA"/>
    <w:rsid w:val="00411A10"/>
    <w:rsid w:val="00493154"/>
    <w:rsid w:val="004A5B17"/>
    <w:rsid w:val="004E2038"/>
    <w:rsid w:val="004E7E60"/>
    <w:rsid w:val="00501B2B"/>
    <w:rsid w:val="00503D17"/>
    <w:rsid w:val="005275F4"/>
    <w:rsid w:val="00540F0D"/>
    <w:rsid w:val="0057706E"/>
    <w:rsid w:val="005C5A8A"/>
    <w:rsid w:val="005F5DB7"/>
    <w:rsid w:val="00616A21"/>
    <w:rsid w:val="00625334"/>
    <w:rsid w:val="00635530"/>
    <w:rsid w:val="006A03F2"/>
    <w:rsid w:val="006C1406"/>
    <w:rsid w:val="006D0800"/>
    <w:rsid w:val="006E1CA4"/>
    <w:rsid w:val="006E3993"/>
    <w:rsid w:val="007156ED"/>
    <w:rsid w:val="00732C18"/>
    <w:rsid w:val="007544AE"/>
    <w:rsid w:val="0076076F"/>
    <w:rsid w:val="00771469"/>
    <w:rsid w:val="007731B4"/>
    <w:rsid w:val="007853E4"/>
    <w:rsid w:val="007D0FA4"/>
    <w:rsid w:val="007F2DDA"/>
    <w:rsid w:val="00804D25"/>
    <w:rsid w:val="0080626A"/>
    <w:rsid w:val="00855186"/>
    <w:rsid w:val="008632E3"/>
    <w:rsid w:val="00891FA7"/>
    <w:rsid w:val="009104D0"/>
    <w:rsid w:val="00965B22"/>
    <w:rsid w:val="0097642B"/>
    <w:rsid w:val="009A1B79"/>
    <w:rsid w:val="009C5D0B"/>
    <w:rsid w:val="009C72DE"/>
    <w:rsid w:val="009D0E21"/>
    <w:rsid w:val="009F4C34"/>
    <w:rsid w:val="009F5563"/>
    <w:rsid w:val="00A1491A"/>
    <w:rsid w:val="00A15157"/>
    <w:rsid w:val="00A334F0"/>
    <w:rsid w:val="00A500E0"/>
    <w:rsid w:val="00A663ED"/>
    <w:rsid w:val="00A74EDE"/>
    <w:rsid w:val="00A86803"/>
    <w:rsid w:val="00AC4491"/>
    <w:rsid w:val="00B0442F"/>
    <w:rsid w:val="00B0533C"/>
    <w:rsid w:val="00B0584D"/>
    <w:rsid w:val="00B229E4"/>
    <w:rsid w:val="00B24C80"/>
    <w:rsid w:val="00B34AB7"/>
    <w:rsid w:val="00B36402"/>
    <w:rsid w:val="00B56960"/>
    <w:rsid w:val="00B85BE3"/>
    <w:rsid w:val="00B8797C"/>
    <w:rsid w:val="00C351AD"/>
    <w:rsid w:val="00C6570D"/>
    <w:rsid w:val="00C908C9"/>
    <w:rsid w:val="00CC4DC3"/>
    <w:rsid w:val="00CD0C63"/>
    <w:rsid w:val="00D77055"/>
    <w:rsid w:val="00DA4717"/>
    <w:rsid w:val="00DE01DB"/>
    <w:rsid w:val="00DE7B2D"/>
    <w:rsid w:val="00E03128"/>
    <w:rsid w:val="00E25B85"/>
    <w:rsid w:val="00EA3F0F"/>
    <w:rsid w:val="00ED3419"/>
    <w:rsid w:val="00ED63DA"/>
    <w:rsid w:val="00EF188D"/>
    <w:rsid w:val="00F04CD4"/>
    <w:rsid w:val="00F7172B"/>
    <w:rsid w:val="00FB1ABB"/>
    <w:rsid w:val="00FB2C77"/>
    <w:rsid w:val="00FC33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0BF5"/>
    <w:pPr>
      <w:ind w:left="720"/>
      <w:contextualSpacing/>
    </w:pPr>
  </w:style>
  <w:style w:type="paragraph" w:styleId="Encabezado">
    <w:name w:val="header"/>
    <w:basedOn w:val="Normal"/>
    <w:link w:val="EncabezadoCar"/>
    <w:uiPriority w:val="99"/>
    <w:unhideWhenUsed/>
    <w:rsid w:val="00785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3E4"/>
  </w:style>
  <w:style w:type="paragraph" w:styleId="Piedepgina">
    <w:name w:val="footer"/>
    <w:basedOn w:val="Normal"/>
    <w:link w:val="PiedepginaCar"/>
    <w:uiPriority w:val="99"/>
    <w:unhideWhenUsed/>
    <w:rsid w:val="00785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3E4"/>
  </w:style>
  <w:style w:type="paragraph" w:styleId="Textodeglobo">
    <w:name w:val="Balloon Text"/>
    <w:basedOn w:val="Normal"/>
    <w:link w:val="TextodegloboCar"/>
    <w:uiPriority w:val="99"/>
    <w:semiHidden/>
    <w:unhideWhenUsed/>
    <w:rsid w:val="00AC4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491"/>
    <w:rPr>
      <w:rFonts w:ascii="Tahoma" w:hAnsi="Tahoma" w:cs="Tahoma"/>
      <w:sz w:val="16"/>
      <w:szCs w:val="16"/>
    </w:rPr>
  </w:style>
  <w:style w:type="character" w:styleId="Textoennegrita">
    <w:name w:val="Strong"/>
    <w:basedOn w:val="Fuentedeprrafopredeter"/>
    <w:qFormat/>
    <w:rsid w:val="00C6570D"/>
    <w:rPr>
      <w:b/>
      <w:bCs/>
    </w:rPr>
  </w:style>
  <w:style w:type="paragraph" w:customStyle="1" w:styleId="Default">
    <w:name w:val="Default"/>
    <w:rsid w:val="0023409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0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0BF5"/>
    <w:pPr>
      <w:ind w:left="720"/>
      <w:contextualSpacing/>
    </w:pPr>
  </w:style>
  <w:style w:type="paragraph" w:styleId="Encabezado">
    <w:name w:val="header"/>
    <w:basedOn w:val="Normal"/>
    <w:link w:val="EncabezadoCar"/>
    <w:uiPriority w:val="99"/>
    <w:unhideWhenUsed/>
    <w:rsid w:val="00785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3E4"/>
  </w:style>
  <w:style w:type="paragraph" w:styleId="Piedepgina">
    <w:name w:val="footer"/>
    <w:basedOn w:val="Normal"/>
    <w:link w:val="PiedepginaCar"/>
    <w:uiPriority w:val="99"/>
    <w:unhideWhenUsed/>
    <w:rsid w:val="00785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3E4"/>
  </w:style>
  <w:style w:type="paragraph" w:styleId="Textodeglobo">
    <w:name w:val="Balloon Text"/>
    <w:basedOn w:val="Normal"/>
    <w:link w:val="TextodegloboCar"/>
    <w:uiPriority w:val="99"/>
    <w:semiHidden/>
    <w:unhideWhenUsed/>
    <w:rsid w:val="00AC4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491"/>
    <w:rPr>
      <w:rFonts w:ascii="Tahoma" w:hAnsi="Tahoma" w:cs="Tahoma"/>
      <w:sz w:val="16"/>
      <w:szCs w:val="16"/>
    </w:rPr>
  </w:style>
  <w:style w:type="character" w:styleId="Textoennegrita">
    <w:name w:val="Strong"/>
    <w:basedOn w:val="Fuentedeprrafopredeter"/>
    <w:qFormat/>
    <w:rsid w:val="00C6570D"/>
    <w:rPr>
      <w:b/>
      <w:bCs/>
    </w:rPr>
  </w:style>
  <w:style w:type="paragraph" w:customStyle="1" w:styleId="Default">
    <w:name w:val="Default"/>
    <w:rsid w:val="002340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3098">
      <w:bodyDiv w:val="1"/>
      <w:marLeft w:val="0"/>
      <w:marRight w:val="0"/>
      <w:marTop w:val="0"/>
      <w:marBottom w:val="0"/>
      <w:divBdr>
        <w:top w:val="none" w:sz="0" w:space="0" w:color="auto"/>
        <w:left w:val="none" w:sz="0" w:space="0" w:color="auto"/>
        <w:bottom w:val="none" w:sz="0" w:space="0" w:color="auto"/>
        <w:right w:val="none" w:sz="0" w:space="0" w:color="auto"/>
      </w:divBdr>
    </w:div>
    <w:div w:id="1368023352">
      <w:bodyDiv w:val="1"/>
      <w:marLeft w:val="30"/>
      <w:marRight w:val="30"/>
      <w:marTop w:val="0"/>
      <w:marBottom w:val="0"/>
      <w:divBdr>
        <w:top w:val="none" w:sz="0" w:space="0" w:color="auto"/>
        <w:left w:val="none" w:sz="0" w:space="0" w:color="auto"/>
        <w:bottom w:val="none" w:sz="0" w:space="0" w:color="auto"/>
        <w:right w:val="none" w:sz="0" w:space="0" w:color="auto"/>
      </w:divBdr>
      <w:divsChild>
        <w:div w:id="2094668754">
          <w:marLeft w:val="0"/>
          <w:marRight w:val="0"/>
          <w:marTop w:val="0"/>
          <w:marBottom w:val="0"/>
          <w:divBdr>
            <w:top w:val="none" w:sz="0" w:space="0" w:color="auto"/>
            <w:left w:val="none" w:sz="0" w:space="0" w:color="auto"/>
            <w:bottom w:val="none" w:sz="0" w:space="0" w:color="auto"/>
            <w:right w:val="none" w:sz="0" w:space="0" w:color="auto"/>
          </w:divBdr>
          <w:divsChild>
            <w:div w:id="729038792">
              <w:marLeft w:val="0"/>
              <w:marRight w:val="0"/>
              <w:marTop w:val="0"/>
              <w:marBottom w:val="0"/>
              <w:divBdr>
                <w:top w:val="none" w:sz="0" w:space="0" w:color="auto"/>
                <w:left w:val="none" w:sz="0" w:space="0" w:color="auto"/>
                <w:bottom w:val="none" w:sz="0" w:space="0" w:color="auto"/>
                <w:right w:val="none" w:sz="0" w:space="0" w:color="auto"/>
              </w:divBdr>
              <w:divsChild>
                <w:div w:id="1934245336">
                  <w:marLeft w:val="180"/>
                  <w:marRight w:val="0"/>
                  <w:marTop w:val="0"/>
                  <w:marBottom w:val="0"/>
                  <w:divBdr>
                    <w:top w:val="none" w:sz="0" w:space="0" w:color="auto"/>
                    <w:left w:val="none" w:sz="0" w:space="0" w:color="auto"/>
                    <w:bottom w:val="none" w:sz="0" w:space="0" w:color="auto"/>
                    <w:right w:val="none" w:sz="0" w:space="0" w:color="auto"/>
                  </w:divBdr>
                  <w:divsChild>
                    <w:div w:id="388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58600">
      <w:bodyDiv w:val="1"/>
      <w:marLeft w:val="0"/>
      <w:marRight w:val="0"/>
      <w:marTop w:val="0"/>
      <w:marBottom w:val="0"/>
      <w:divBdr>
        <w:top w:val="none" w:sz="0" w:space="0" w:color="auto"/>
        <w:left w:val="none" w:sz="0" w:space="0" w:color="auto"/>
        <w:bottom w:val="none" w:sz="0" w:space="0" w:color="auto"/>
        <w:right w:val="none" w:sz="0" w:space="0" w:color="auto"/>
      </w:divBdr>
    </w:div>
    <w:div w:id="1630865889">
      <w:bodyDiv w:val="1"/>
      <w:marLeft w:val="0"/>
      <w:marRight w:val="0"/>
      <w:marTop w:val="0"/>
      <w:marBottom w:val="0"/>
      <w:divBdr>
        <w:top w:val="none" w:sz="0" w:space="0" w:color="auto"/>
        <w:left w:val="none" w:sz="0" w:space="0" w:color="auto"/>
        <w:bottom w:val="none" w:sz="0" w:space="0" w:color="auto"/>
        <w:right w:val="none" w:sz="0" w:space="0" w:color="auto"/>
      </w:divBdr>
    </w:div>
    <w:div w:id="186524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79B6-030C-4EF0-BB88-B587309E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1495</Words>
  <Characters>8224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La Maza Sepulveda</dc:creator>
  <cp:lastModifiedBy>Felipe De La Maza Sepulveda</cp:lastModifiedBy>
  <cp:revision>13</cp:revision>
  <cp:lastPrinted>2016-11-22T19:23:00Z</cp:lastPrinted>
  <dcterms:created xsi:type="dcterms:W3CDTF">2016-09-02T17:55:00Z</dcterms:created>
  <dcterms:modified xsi:type="dcterms:W3CDTF">2016-11-22T19:28:00Z</dcterms:modified>
</cp:coreProperties>
</file>