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4A217" w14:textId="77777777" w:rsidR="001E049F" w:rsidRPr="00C14A6F" w:rsidRDefault="001E049F" w:rsidP="008B5658">
      <w:pPr>
        <w:jc w:val="center"/>
        <w:rPr>
          <w:sz w:val="48"/>
          <w:szCs w:val="48"/>
        </w:rPr>
      </w:pPr>
    </w:p>
    <w:p w14:paraId="569B473D" w14:textId="77777777" w:rsidR="001E049F" w:rsidRPr="00C14A6F" w:rsidRDefault="001E049F" w:rsidP="008B5658">
      <w:pPr>
        <w:jc w:val="center"/>
        <w:rPr>
          <w:sz w:val="48"/>
          <w:szCs w:val="48"/>
        </w:rPr>
      </w:pPr>
      <w:r w:rsidRPr="00C14A6F">
        <w:rPr>
          <w:noProof/>
          <w:sz w:val="48"/>
          <w:szCs w:val="48"/>
          <w:lang w:eastAsia="es-CL"/>
        </w:rPr>
        <w:drawing>
          <wp:inline distT="0" distB="0" distL="0" distR="0" wp14:anchorId="1790C6FF" wp14:editId="282EE441">
            <wp:extent cx="3605530" cy="2734310"/>
            <wp:effectExtent l="0" t="0" r="0" b="0"/>
            <wp:docPr id="1" name="Imagen 1" descr="C:\Users\pablo.barahona\Desktop\LOGO C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blo.barahona\Desktop\LOGO CD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5530" cy="2734310"/>
                    </a:xfrm>
                    <a:prstGeom prst="rect">
                      <a:avLst/>
                    </a:prstGeom>
                    <a:noFill/>
                    <a:ln>
                      <a:noFill/>
                    </a:ln>
                  </pic:spPr>
                </pic:pic>
              </a:graphicData>
            </a:graphic>
          </wp:inline>
        </w:drawing>
      </w:r>
    </w:p>
    <w:p w14:paraId="1E08C4CE" w14:textId="77777777" w:rsidR="007C797F" w:rsidRDefault="00C417E8" w:rsidP="008B5658">
      <w:pPr>
        <w:jc w:val="center"/>
        <w:rPr>
          <w:sz w:val="48"/>
          <w:szCs w:val="48"/>
        </w:rPr>
      </w:pPr>
      <w:r w:rsidRPr="00C14A6F">
        <w:rPr>
          <w:sz w:val="48"/>
          <w:szCs w:val="48"/>
        </w:rPr>
        <w:t>Plan de acción</w:t>
      </w:r>
    </w:p>
    <w:p w14:paraId="5172DDEA" w14:textId="77777777" w:rsidR="00A16572" w:rsidRPr="00C14A6F" w:rsidRDefault="00C712DC" w:rsidP="008B5658">
      <w:pPr>
        <w:jc w:val="center"/>
        <w:rPr>
          <w:sz w:val="48"/>
          <w:szCs w:val="48"/>
        </w:rPr>
      </w:pPr>
      <w:r>
        <w:rPr>
          <w:sz w:val="48"/>
          <w:szCs w:val="48"/>
        </w:rPr>
        <w:t>Tercer</w:t>
      </w:r>
      <w:r w:rsidR="00C417E8" w:rsidRPr="00C14A6F">
        <w:rPr>
          <w:sz w:val="48"/>
          <w:szCs w:val="48"/>
        </w:rPr>
        <w:t xml:space="preserve"> año de operación</w:t>
      </w:r>
    </w:p>
    <w:p w14:paraId="3EB833FF" w14:textId="77777777" w:rsidR="001E049F" w:rsidRPr="00C14A6F" w:rsidRDefault="001E049F" w:rsidP="008B5658">
      <w:pPr>
        <w:jc w:val="center"/>
      </w:pPr>
    </w:p>
    <w:p w14:paraId="3BAF9D3F" w14:textId="77777777" w:rsidR="0047423B" w:rsidRDefault="0047423B" w:rsidP="008B5658">
      <w:pPr>
        <w:jc w:val="center"/>
      </w:pPr>
    </w:p>
    <w:p w14:paraId="5B304B08" w14:textId="77777777" w:rsidR="00B46A17" w:rsidRDefault="00B46A17" w:rsidP="008B5658">
      <w:pPr>
        <w:jc w:val="center"/>
      </w:pPr>
    </w:p>
    <w:p w14:paraId="66BB673E" w14:textId="77777777" w:rsidR="00B46A17" w:rsidRDefault="00B46A17" w:rsidP="008B5658">
      <w:pPr>
        <w:jc w:val="center"/>
      </w:pPr>
    </w:p>
    <w:p w14:paraId="3E74A099" w14:textId="77777777" w:rsidR="00B46A17" w:rsidRPr="00C14A6F" w:rsidRDefault="00B46A17" w:rsidP="008B5658">
      <w:pPr>
        <w:jc w:val="center"/>
      </w:pPr>
    </w:p>
    <w:tbl>
      <w:tblPr>
        <w:tblStyle w:val="Sombreadoclaro"/>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6768"/>
      </w:tblGrid>
      <w:tr w:rsidR="008B5658" w:rsidRPr="00C14A6F" w14:paraId="1AABBF0E" w14:textId="77777777" w:rsidTr="008B56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47"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1B41D6B7" w14:textId="77777777" w:rsidR="008B5658" w:rsidRPr="00C14A6F" w:rsidRDefault="008B5658" w:rsidP="008B5658">
            <w:pPr>
              <w:spacing w:line="360" w:lineRule="auto"/>
              <w:jc w:val="center"/>
            </w:pPr>
            <w:r w:rsidRPr="00C14A6F">
              <w:t>Centro:</w:t>
            </w:r>
          </w:p>
        </w:tc>
        <w:tc>
          <w:tcPr>
            <w:tcW w:w="6768" w:type="dxa"/>
            <w:tcBorders>
              <w:top w:val="none" w:sz="0" w:space="0" w:color="auto"/>
              <w:left w:val="none" w:sz="0" w:space="0" w:color="auto"/>
              <w:bottom w:val="none" w:sz="0" w:space="0" w:color="auto"/>
              <w:right w:val="none" w:sz="0" w:space="0" w:color="auto"/>
            </w:tcBorders>
            <w:shd w:val="clear" w:color="auto" w:fill="auto"/>
          </w:tcPr>
          <w:p w14:paraId="47D6E8BF" w14:textId="77777777" w:rsidR="008B5658" w:rsidRPr="00C14A6F" w:rsidRDefault="0047378F" w:rsidP="008E000D">
            <w:pPr>
              <w:jc w:val="center"/>
              <w:cnfStyle w:val="100000000000" w:firstRow="1" w:lastRow="0" w:firstColumn="0" w:lastColumn="0" w:oddVBand="0" w:evenVBand="0" w:oddHBand="0" w:evenHBand="0" w:firstRowFirstColumn="0" w:firstRowLastColumn="0" w:lastRowFirstColumn="0" w:lastRowLastColumn="0"/>
              <w:rPr>
                <w:b w:val="0"/>
              </w:rPr>
            </w:pPr>
            <w:r>
              <w:rPr>
                <w:b w:val="0"/>
              </w:rPr>
              <w:t>Centro de Desarrollo de Negocios Cauquenes</w:t>
            </w:r>
          </w:p>
        </w:tc>
      </w:tr>
      <w:tr w:rsidR="008B5658" w:rsidRPr="00C14A6F" w14:paraId="25A63BDB" w14:textId="77777777" w:rsidTr="008B56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47" w:type="dxa"/>
            <w:tcBorders>
              <w:left w:val="none" w:sz="0" w:space="0" w:color="auto"/>
              <w:right w:val="none" w:sz="0" w:space="0" w:color="auto"/>
            </w:tcBorders>
            <w:shd w:val="clear" w:color="auto" w:fill="BFBFBF" w:themeFill="background1" w:themeFillShade="BF"/>
            <w:vAlign w:val="center"/>
          </w:tcPr>
          <w:p w14:paraId="49CD437E" w14:textId="77777777" w:rsidR="008B5658" w:rsidRPr="00C14A6F" w:rsidRDefault="008B5658" w:rsidP="008B5658">
            <w:pPr>
              <w:spacing w:line="360" w:lineRule="auto"/>
              <w:jc w:val="center"/>
            </w:pPr>
            <w:r w:rsidRPr="00C14A6F">
              <w:t>Región:</w:t>
            </w:r>
          </w:p>
        </w:tc>
        <w:tc>
          <w:tcPr>
            <w:tcW w:w="6768" w:type="dxa"/>
            <w:tcBorders>
              <w:left w:val="none" w:sz="0" w:space="0" w:color="auto"/>
              <w:right w:val="none" w:sz="0" w:space="0" w:color="auto"/>
            </w:tcBorders>
            <w:shd w:val="clear" w:color="auto" w:fill="auto"/>
          </w:tcPr>
          <w:p w14:paraId="62A31695" w14:textId="77777777" w:rsidR="008B5658" w:rsidRPr="00C14A6F" w:rsidRDefault="0047378F" w:rsidP="008E000D">
            <w:pPr>
              <w:jc w:val="center"/>
              <w:cnfStyle w:val="000000100000" w:firstRow="0" w:lastRow="0" w:firstColumn="0" w:lastColumn="0" w:oddVBand="0" w:evenVBand="0" w:oddHBand="1" w:evenHBand="0" w:firstRowFirstColumn="0" w:firstRowLastColumn="0" w:lastRowFirstColumn="0" w:lastRowLastColumn="0"/>
            </w:pPr>
            <w:r>
              <w:t>Maule</w:t>
            </w:r>
          </w:p>
        </w:tc>
      </w:tr>
      <w:tr w:rsidR="008B5658" w:rsidRPr="00C14A6F" w14:paraId="7D604280" w14:textId="77777777" w:rsidTr="008B5658">
        <w:trPr>
          <w:jc w:val="center"/>
        </w:trPr>
        <w:tc>
          <w:tcPr>
            <w:cnfStyle w:val="001000000000" w:firstRow="0" w:lastRow="0" w:firstColumn="1" w:lastColumn="0" w:oddVBand="0" w:evenVBand="0" w:oddHBand="0" w:evenHBand="0" w:firstRowFirstColumn="0" w:firstRowLastColumn="0" w:lastRowFirstColumn="0" w:lastRowLastColumn="0"/>
            <w:tcW w:w="2347" w:type="dxa"/>
            <w:shd w:val="clear" w:color="auto" w:fill="BFBFBF" w:themeFill="background1" w:themeFillShade="BF"/>
            <w:vAlign w:val="center"/>
          </w:tcPr>
          <w:p w14:paraId="7552FF58" w14:textId="77777777" w:rsidR="008B5658" w:rsidRPr="00C14A6F" w:rsidRDefault="008B5658" w:rsidP="008B5658">
            <w:pPr>
              <w:spacing w:line="360" w:lineRule="auto"/>
              <w:jc w:val="center"/>
            </w:pPr>
            <w:r w:rsidRPr="00C14A6F">
              <w:t>Tamaño del centro:</w:t>
            </w:r>
          </w:p>
        </w:tc>
        <w:tc>
          <w:tcPr>
            <w:tcW w:w="6768" w:type="dxa"/>
            <w:shd w:val="clear" w:color="auto" w:fill="auto"/>
          </w:tcPr>
          <w:p w14:paraId="0C1ADB6B" w14:textId="77777777" w:rsidR="008B5658" w:rsidRPr="00C14A6F" w:rsidRDefault="0047378F" w:rsidP="008E000D">
            <w:pPr>
              <w:jc w:val="center"/>
              <w:cnfStyle w:val="000000000000" w:firstRow="0" w:lastRow="0" w:firstColumn="0" w:lastColumn="0" w:oddVBand="0" w:evenVBand="0" w:oddHBand="0" w:evenHBand="0" w:firstRowFirstColumn="0" w:firstRowLastColumn="0" w:lastRowFirstColumn="0" w:lastRowLastColumn="0"/>
            </w:pPr>
            <w:r>
              <w:t>Pequeño</w:t>
            </w:r>
          </w:p>
        </w:tc>
      </w:tr>
      <w:tr w:rsidR="008B5658" w:rsidRPr="00C14A6F" w14:paraId="451A447D" w14:textId="77777777" w:rsidTr="008B56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47" w:type="dxa"/>
            <w:tcBorders>
              <w:left w:val="none" w:sz="0" w:space="0" w:color="auto"/>
              <w:right w:val="none" w:sz="0" w:space="0" w:color="auto"/>
            </w:tcBorders>
            <w:shd w:val="clear" w:color="auto" w:fill="BFBFBF" w:themeFill="background1" w:themeFillShade="BF"/>
            <w:vAlign w:val="center"/>
          </w:tcPr>
          <w:p w14:paraId="70E43643" w14:textId="77777777" w:rsidR="008B5658" w:rsidRPr="00C14A6F" w:rsidRDefault="008B5658" w:rsidP="008B5658">
            <w:pPr>
              <w:spacing w:line="360" w:lineRule="auto"/>
              <w:jc w:val="center"/>
            </w:pPr>
            <w:r w:rsidRPr="00C14A6F">
              <w:t>Institución Operadora:</w:t>
            </w:r>
          </w:p>
        </w:tc>
        <w:tc>
          <w:tcPr>
            <w:tcW w:w="6768" w:type="dxa"/>
            <w:tcBorders>
              <w:left w:val="none" w:sz="0" w:space="0" w:color="auto"/>
              <w:right w:val="none" w:sz="0" w:space="0" w:color="auto"/>
            </w:tcBorders>
            <w:shd w:val="clear" w:color="auto" w:fill="auto"/>
          </w:tcPr>
          <w:p w14:paraId="7E029BA7" w14:textId="77777777" w:rsidR="008B5658" w:rsidRPr="00C14A6F" w:rsidRDefault="0047378F" w:rsidP="008E000D">
            <w:pPr>
              <w:jc w:val="center"/>
              <w:cnfStyle w:val="000000100000" w:firstRow="0" w:lastRow="0" w:firstColumn="0" w:lastColumn="0" w:oddVBand="0" w:evenVBand="0" w:oddHBand="1" w:evenHBand="0" w:firstRowFirstColumn="0" w:firstRowLastColumn="0" w:lastRowFirstColumn="0" w:lastRowLastColumn="0"/>
            </w:pPr>
            <w:r>
              <w:t>Universidad Católica del Maule</w:t>
            </w:r>
          </w:p>
        </w:tc>
      </w:tr>
      <w:tr w:rsidR="008B5658" w:rsidRPr="00C14A6F" w14:paraId="6EB1DBCD" w14:textId="77777777" w:rsidTr="008B5658">
        <w:trPr>
          <w:jc w:val="center"/>
        </w:trPr>
        <w:tc>
          <w:tcPr>
            <w:cnfStyle w:val="001000000000" w:firstRow="0" w:lastRow="0" w:firstColumn="1" w:lastColumn="0" w:oddVBand="0" w:evenVBand="0" w:oddHBand="0" w:evenHBand="0" w:firstRowFirstColumn="0" w:firstRowLastColumn="0" w:lastRowFirstColumn="0" w:lastRowLastColumn="0"/>
            <w:tcW w:w="2347" w:type="dxa"/>
            <w:shd w:val="clear" w:color="auto" w:fill="BFBFBF" w:themeFill="background1" w:themeFillShade="BF"/>
            <w:vAlign w:val="center"/>
          </w:tcPr>
          <w:p w14:paraId="1BC23BC4" w14:textId="77777777" w:rsidR="008B5658" w:rsidRPr="00C14A6F" w:rsidRDefault="008B5658" w:rsidP="008B5658">
            <w:pPr>
              <w:spacing w:line="360" w:lineRule="auto"/>
              <w:jc w:val="center"/>
            </w:pPr>
            <w:r w:rsidRPr="00C14A6F">
              <w:t>Realizado por:</w:t>
            </w:r>
          </w:p>
        </w:tc>
        <w:tc>
          <w:tcPr>
            <w:tcW w:w="6768" w:type="dxa"/>
            <w:shd w:val="clear" w:color="auto" w:fill="auto"/>
          </w:tcPr>
          <w:p w14:paraId="057B8534" w14:textId="77777777" w:rsidR="008B5658" w:rsidRPr="00C14A6F" w:rsidRDefault="0047378F" w:rsidP="008E000D">
            <w:pPr>
              <w:jc w:val="center"/>
              <w:cnfStyle w:val="000000000000" w:firstRow="0" w:lastRow="0" w:firstColumn="0" w:lastColumn="0" w:oddVBand="0" w:evenVBand="0" w:oddHBand="0" w:evenHBand="0" w:firstRowFirstColumn="0" w:firstRowLastColumn="0" w:lastRowFirstColumn="0" w:lastRowLastColumn="0"/>
            </w:pPr>
            <w:r>
              <w:t>Rodrigo Alfonso Uribe Castillo</w:t>
            </w:r>
          </w:p>
        </w:tc>
      </w:tr>
      <w:tr w:rsidR="001E049F" w:rsidRPr="00C14A6F" w14:paraId="5F9DBA18" w14:textId="77777777" w:rsidTr="001E04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47" w:type="dxa"/>
            <w:tcBorders>
              <w:left w:val="none" w:sz="0" w:space="0" w:color="auto"/>
              <w:right w:val="none" w:sz="0" w:space="0" w:color="auto"/>
            </w:tcBorders>
            <w:shd w:val="clear" w:color="auto" w:fill="BFBFBF" w:themeFill="background1" w:themeFillShade="BF"/>
            <w:vAlign w:val="center"/>
          </w:tcPr>
          <w:p w14:paraId="384A455A" w14:textId="77777777" w:rsidR="001E049F" w:rsidRPr="00C14A6F" w:rsidRDefault="001E049F" w:rsidP="008B5658">
            <w:pPr>
              <w:spacing w:line="360" w:lineRule="auto"/>
              <w:jc w:val="center"/>
            </w:pPr>
            <w:r w:rsidRPr="00C14A6F">
              <w:t>Fecha de entrega:</w:t>
            </w:r>
          </w:p>
        </w:tc>
        <w:tc>
          <w:tcPr>
            <w:tcW w:w="6768" w:type="dxa"/>
            <w:tcBorders>
              <w:left w:val="none" w:sz="0" w:space="0" w:color="auto"/>
              <w:right w:val="none" w:sz="0" w:space="0" w:color="auto"/>
            </w:tcBorders>
            <w:shd w:val="clear" w:color="auto" w:fill="auto"/>
          </w:tcPr>
          <w:p w14:paraId="14536D88" w14:textId="77777777" w:rsidR="001E049F" w:rsidRPr="00C14A6F" w:rsidRDefault="0047378F" w:rsidP="008E000D">
            <w:pPr>
              <w:jc w:val="center"/>
              <w:cnfStyle w:val="000000100000" w:firstRow="0" w:lastRow="0" w:firstColumn="0" w:lastColumn="0" w:oddVBand="0" w:evenVBand="0" w:oddHBand="1" w:evenHBand="0" w:firstRowFirstColumn="0" w:firstRowLastColumn="0" w:lastRowFirstColumn="0" w:lastRowLastColumn="0"/>
            </w:pPr>
            <w:r>
              <w:t>06.07.2017</w:t>
            </w:r>
          </w:p>
        </w:tc>
      </w:tr>
    </w:tbl>
    <w:p w14:paraId="40F913B2" w14:textId="77777777" w:rsidR="003B7926" w:rsidRDefault="003B7926"/>
    <w:tbl>
      <w:tblPr>
        <w:tblStyle w:val="Tablaconcuadrcula"/>
        <w:tblW w:w="0" w:type="auto"/>
        <w:tblLook w:val="04A0" w:firstRow="1" w:lastRow="0" w:firstColumn="1" w:lastColumn="0" w:noHBand="0" w:noVBand="1"/>
      </w:tblPr>
      <w:tblGrid>
        <w:gridCol w:w="2982"/>
        <w:gridCol w:w="3476"/>
        <w:gridCol w:w="2370"/>
      </w:tblGrid>
      <w:tr w:rsidR="003B7926" w:rsidRPr="007B6BAA" w14:paraId="58C080FB" w14:textId="77777777" w:rsidTr="008933CA">
        <w:trPr>
          <w:trHeight w:val="300"/>
        </w:trPr>
        <w:tc>
          <w:tcPr>
            <w:tcW w:w="3059" w:type="dxa"/>
            <w:shd w:val="clear" w:color="auto" w:fill="D9D9D9" w:themeFill="background1" w:themeFillShade="D9"/>
            <w:noWrap/>
            <w:hideMark/>
          </w:tcPr>
          <w:p w14:paraId="2E755980" w14:textId="77777777" w:rsidR="003B7926" w:rsidRPr="007B6BAA" w:rsidRDefault="008933CA" w:rsidP="008933CA">
            <w:pPr>
              <w:rPr>
                <w:b/>
                <w:bCs/>
              </w:rPr>
            </w:pPr>
            <w:r>
              <w:rPr>
                <w:b/>
                <w:bCs/>
              </w:rPr>
              <w:t>1.</w:t>
            </w:r>
            <w:r w:rsidR="008E000D">
              <w:rPr>
                <w:b/>
                <w:bCs/>
              </w:rPr>
              <w:t xml:space="preserve"> Mapa estratégico </w:t>
            </w:r>
            <w:r w:rsidR="008E000D" w:rsidRPr="008E000D">
              <w:rPr>
                <w:bCs/>
                <w:i/>
              </w:rPr>
              <w:t>(incluirlo como anexo al final)</w:t>
            </w:r>
          </w:p>
        </w:tc>
        <w:tc>
          <w:tcPr>
            <w:tcW w:w="3566" w:type="dxa"/>
            <w:shd w:val="clear" w:color="auto" w:fill="D9D9D9" w:themeFill="background1" w:themeFillShade="D9"/>
          </w:tcPr>
          <w:p w14:paraId="66F74210" w14:textId="77777777" w:rsidR="003B7926" w:rsidRPr="007B6BAA" w:rsidRDefault="003B7926" w:rsidP="0095454A">
            <w:pPr>
              <w:rPr>
                <w:b/>
                <w:bCs/>
              </w:rPr>
            </w:pPr>
            <w:r>
              <w:rPr>
                <w:b/>
                <w:bCs/>
              </w:rPr>
              <w:t xml:space="preserve">Como se realizará en el próximo período </w:t>
            </w:r>
          </w:p>
        </w:tc>
        <w:tc>
          <w:tcPr>
            <w:tcW w:w="2429" w:type="dxa"/>
            <w:shd w:val="clear" w:color="auto" w:fill="D9D9D9" w:themeFill="background1" w:themeFillShade="D9"/>
          </w:tcPr>
          <w:p w14:paraId="36AE535A" w14:textId="77777777" w:rsidR="003B7926" w:rsidRPr="007B6BAA" w:rsidRDefault="003B7926" w:rsidP="0095454A">
            <w:pPr>
              <w:rPr>
                <w:b/>
                <w:bCs/>
              </w:rPr>
            </w:pPr>
            <w:r w:rsidRPr="007B6BAA">
              <w:rPr>
                <w:b/>
                <w:bCs/>
              </w:rPr>
              <w:t xml:space="preserve">Compromisos en este ámbito </w:t>
            </w:r>
          </w:p>
        </w:tc>
      </w:tr>
      <w:tr w:rsidR="003B7926" w:rsidRPr="007B6BAA" w14:paraId="6DE2D4A6" w14:textId="77777777" w:rsidTr="008933CA">
        <w:trPr>
          <w:trHeight w:val="258"/>
        </w:trPr>
        <w:tc>
          <w:tcPr>
            <w:tcW w:w="3059" w:type="dxa"/>
            <w:noWrap/>
            <w:hideMark/>
          </w:tcPr>
          <w:p w14:paraId="6C20FC7D" w14:textId="77777777" w:rsidR="003B7926" w:rsidRPr="007B6BAA" w:rsidRDefault="003B7926" w:rsidP="0095454A">
            <w:r w:rsidRPr="007B6BAA">
              <w:t xml:space="preserve">Relato del proceso, promesa de trabajo </w:t>
            </w:r>
          </w:p>
        </w:tc>
        <w:tc>
          <w:tcPr>
            <w:tcW w:w="3566" w:type="dxa"/>
          </w:tcPr>
          <w:p w14:paraId="48834969" w14:textId="77777777" w:rsidR="003B7926" w:rsidRDefault="002D14CC" w:rsidP="0095454A">
            <w:pPr>
              <w:jc w:val="both"/>
            </w:pPr>
            <w:r>
              <w:t>En cuanto a la Perspectiva de recursos humanos se potenciarán las habilidades del equipo a través de la certificación de competencias en las áreas detectadas como brechas del equipo</w:t>
            </w:r>
            <w:r w:rsidR="00161A33">
              <w:t>, lo cual luego será replicado como capacitación a los clientes.</w:t>
            </w:r>
            <w:r w:rsidR="008668E9">
              <w:t xml:space="preserve"> </w:t>
            </w:r>
          </w:p>
          <w:p w14:paraId="6FA420AD" w14:textId="77777777" w:rsidR="005956C7" w:rsidRDefault="005956C7" w:rsidP="0095454A">
            <w:pPr>
              <w:jc w:val="both"/>
            </w:pPr>
          </w:p>
          <w:p w14:paraId="06867D65" w14:textId="77777777" w:rsidR="008668E9" w:rsidRDefault="008668E9" w:rsidP="0095454A">
            <w:pPr>
              <w:jc w:val="both"/>
            </w:pPr>
            <w:r>
              <w:t xml:space="preserve">Para ejecutar los procesos internos del centro correcta y eficientemente </w:t>
            </w:r>
            <w:r w:rsidR="005956C7">
              <w:t xml:space="preserve"> se partirá por atraer clientes a través de  acciones de vinculación y asesoría, luego se realizará el seguimiento sistemático de clientes mediante la comunicación periódica y el registro correspondiente en la plataforma.</w:t>
            </w:r>
          </w:p>
          <w:p w14:paraId="70853892" w14:textId="77777777" w:rsidR="00EE017B" w:rsidRDefault="00EE017B" w:rsidP="0095454A">
            <w:pPr>
              <w:jc w:val="both"/>
            </w:pPr>
          </w:p>
          <w:p w14:paraId="41D831AD" w14:textId="77777777" w:rsidR="00EE017B" w:rsidRDefault="00F653D6" w:rsidP="0095454A">
            <w:pPr>
              <w:jc w:val="both"/>
            </w:pPr>
            <w:r>
              <w:t>En cuanto a Perspectiva de los clientes, existirá una diferenciación entre clientes N1 y N2, siendo los primeros atendidos a través de capacitaciones y planes de trabajo de corto plazo y los segundos siendo vinculados y asesorados en áreas clave.</w:t>
            </w:r>
          </w:p>
          <w:p w14:paraId="1DF67E69" w14:textId="77777777" w:rsidR="00F653D6" w:rsidRDefault="00F653D6" w:rsidP="0095454A">
            <w:pPr>
              <w:jc w:val="both"/>
            </w:pPr>
          </w:p>
          <w:p w14:paraId="145C3D57" w14:textId="77777777" w:rsidR="00F653D6" w:rsidRDefault="002A1CF1" w:rsidP="0095454A">
            <w:pPr>
              <w:jc w:val="both"/>
            </w:pPr>
            <w:r>
              <w:lastRenderedPageBreak/>
              <w:t>Para la perspectiva financiera y grupos de interés se contempla la comunicación permanente de resultados y lograr compromiso de aportes de parte de los socios estratégicos.</w:t>
            </w:r>
          </w:p>
          <w:p w14:paraId="31A9F91D" w14:textId="77777777" w:rsidR="00161A33" w:rsidRDefault="00161A33" w:rsidP="0095454A">
            <w:pPr>
              <w:jc w:val="both"/>
            </w:pPr>
          </w:p>
          <w:p w14:paraId="60C6A473" w14:textId="77777777" w:rsidR="00161A33" w:rsidRPr="007B6BAA" w:rsidRDefault="00161A33" w:rsidP="0095454A">
            <w:pPr>
              <w:jc w:val="both"/>
            </w:pPr>
          </w:p>
        </w:tc>
        <w:tc>
          <w:tcPr>
            <w:tcW w:w="2429" w:type="dxa"/>
          </w:tcPr>
          <w:p w14:paraId="3F9FC497" w14:textId="77777777" w:rsidR="003B7926" w:rsidRDefault="002D14CC" w:rsidP="00E63470">
            <w:r>
              <w:lastRenderedPageBreak/>
              <w:t>Estrategia 1: Perspectiva de recursos humanos. Se realizará dos cursos por Asesor según brechas detectadas, los cuales serán replicados en el tercer período.</w:t>
            </w:r>
          </w:p>
          <w:p w14:paraId="6F45B583" w14:textId="77777777" w:rsidR="005956C7" w:rsidRDefault="005956C7" w:rsidP="00E63470"/>
          <w:p w14:paraId="60514891" w14:textId="77777777" w:rsidR="005956C7" w:rsidRDefault="005956C7" w:rsidP="00E63470">
            <w:r>
              <w:t>Estrategia 2: Difusión trimestral de buenas prácticas y de cuatro casos de éxito.</w:t>
            </w:r>
          </w:p>
          <w:p w14:paraId="2959C4C2" w14:textId="77777777" w:rsidR="002D14CC" w:rsidRDefault="002D14CC" w:rsidP="00E63470"/>
          <w:p w14:paraId="73DE1765" w14:textId="77777777" w:rsidR="00F653D6" w:rsidRDefault="00F653D6" w:rsidP="00E63470"/>
          <w:p w14:paraId="2A34847D" w14:textId="77777777" w:rsidR="00F653D6" w:rsidRDefault="00F653D6" w:rsidP="00E63470"/>
          <w:p w14:paraId="3BCB808F" w14:textId="77777777" w:rsidR="00F653D6" w:rsidRDefault="00F653D6" w:rsidP="00E63470"/>
          <w:p w14:paraId="090FBCED" w14:textId="77777777" w:rsidR="00F653D6" w:rsidRDefault="00F653D6" w:rsidP="00E63470"/>
          <w:p w14:paraId="3BCF94CF" w14:textId="77777777" w:rsidR="00F653D6" w:rsidRDefault="00F653D6" w:rsidP="00E63470"/>
          <w:p w14:paraId="258C9255" w14:textId="77777777" w:rsidR="00F653D6" w:rsidRDefault="00F653D6" w:rsidP="00E63470">
            <w:r>
              <w:t>Estrategia 3: mantener una agenda de capacitaciones atractiva, vinculación efectiva con fuentes de financiamiento, especialmente bancaria.</w:t>
            </w:r>
          </w:p>
          <w:p w14:paraId="1CD68526" w14:textId="77777777" w:rsidR="002A1CF1" w:rsidRDefault="002A1CF1" w:rsidP="00E63470"/>
          <w:p w14:paraId="6CBEB41B" w14:textId="77777777" w:rsidR="002A1CF1" w:rsidRDefault="002A1CF1" w:rsidP="00E63470"/>
          <w:p w14:paraId="6B105D94" w14:textId="77777777" w:rsidR="002A1CF1" w:rsidRPr="007B6BAA" w:rsidRDefault="002A1CF1" w:rsidP="00E63470">
            <w:r>
              <w:lastRenderedPageBreak/>
              <w:t xml:space="preserve">Estrategia 4: </w:t>
            </w:r>
            <w:commentRangeStart w:id="0"/>
            <w:r>
              <w:t>Reuniones</w:t>
            </w:r>
            <w:commentRangeEnd w:id="0"/>
            <w:r w:rsidR="006055F1">
              <w:rPr>
                <w:rStyle w:val="Refdecomentario"/>
              </w:rPr>
              <w:commentReference w:id="0"/>
            </w:r>
            <w:r>
              <w:t xml:space="preserve"> ordinarias semestrales de Directorio.</w:t>
            </w:r>
          </w:p>
        </w:tc>
      </w:tr>
      <w:tr w:rsidR="008933CA" w:rsidRPr="007B6BAA" w14:paraId="7E6EFB9C" w14:textId="77777777" w:rsidTr="008933CA">
        <w:trPr>
          <w:trHeight w:val="300"/>
        </w:trPr>
        <w:tc>
          <w:tcPr>
            <w:tcW w:w="9054" w:type="dxa"/>
            <w:gridSpan w:val="3"/>
            <w:tcBorders>
              <w:left w:val="nil"/>
              <w:right w:val="nil"/>
            </w:tcBorders>
            <w:shd w:val="clear" w:color="auto" w:fill="auto"/>
            <w:noWrap/>
          </w:tcPr>
          <w:p w14:paraId="3204D513" w14:textId="77777777" w:rsidR="008933CA" w:rsidRPr="007B6BAA" w:rsidRDefault="008933CA" w:rsidP="0095454A">
            <w:pPr>
              <w:rPr>
                <w:b/>
                <w:bCs/>
              </w:rPr>
            </w:pPr>
          </w:p>
        </w:tc>
      </w:tr>
      <w:tr w:rsidR="008933CA" w:rsidRPr="007B6BAA" w14:paraId="5A661100" w14:textId="77777777" w:rsidTr="008933CA">
        <w:trPr>
          <w:trHeight w:val="300"/>
        </w:trPr>
        <w:tc>
          <w:tcPr>
            <w:tcW w:w="3059" w:type="dxa"/>
            <w:shd w:val="clear" w:color="auto" w:fill="D9D9D9" w:themeFill="background1" w:themeFillShade="D9"/>
            <w:noWrap/>
            <w:hideMark/>
          </w:tcPr>
          <w:p w14:paraId="02B79B58" w14:textId="77777777" w:rsidR="008933CA" w:rsidRPr="007B6BAA" w:rsidRDefault="008933CA" w:rsidP="008933CA">
            <w:pPr>
              <w:rPr>
                <w:b/>
                <w:bCs/>
              </w:rPr>
            </w:pPr>
            <w:r w:rsidRPr="007B6BAA">
              <w:rPr>
                <w:b/>
                <w:bCs/>
              </w:rPr>
              <w:t xml:space="preserve">2. Desarrollo profesional y Recurso Humano </w:t>
            </w:r>
          </w:p>
        </w:tc>
        <w:tc>
          <w:tcPr>
            <w:tcW w:w="3566" w:type="dxa"/>
            <w:shd w:val="clear" w:color="auto" w:fill="D9D9D9" w:themeFill="background1" w:themeFillShade="D9"/>
          </w:tcPr>
          <w:p w14:paraId="58CF2242" w14:textId="77777777" w:rsidR="008933CA" w:rsidRPr="007B6BAA" w:rsidRDefault="008933CA" w:rsidP="0095454A">
            <w:pPr>
              <w:rPr>
                <w:b/>
                <w:bCs/>
              </w:rPr>
            </w:pPr>
            <w:r>
              <w:rPr>
                <w:b/>
                <w:bCs/>
              </w:rPr>
              <w:t xml:space="preserve">Como se realizará en el próximo período </w:t>
            </w:r>
          </w:p>
        </w:tc>
        <w:tc>
          <w:tcPr>
            <w:tcW w:w="2429" w:type="dxa"/>
            <w:shd w:val="clear" w:color="auto" w:fill="D9D9D9" w:themeFill="background1" w:themeFillShade="D9"/>
          </w:tcPr>
          <w:p w14:paraId="1D622D06" w14:textId="77777777" w:rsidR="008933CA" w:rsidRPr="007B6BAA" w:rsidRDefault="008933CA" w:rsidP="0095454A">
            <w:pPr>
              <w:rPr>
                <w:b/>
                <w:bCs/>
              </w:rPr>
            </w:pPr>
            <w:r w:rsidRPr="007B6BAA">
              <w:rPr>
                <w:b/>
                <w:bCs/>
              </w:rPr>
              <w:t xml:space="preserve">Compromisos en este ámbito </w:t>
            </w:r>
          </w:p>
        </w:tc>
      </w:tr>
      <w:tr w:rsidR="00C712DC" w:rsidRPr="007B6BAA" w14:paraId="57A5BA4C" w14:textId="77777777" w:rsidTr="008933CA">
        <w:trPr>
          <w:trHeight w:val="521"/>
        </w:trPr>
        <w:tc>
          <w:tcPr>
            <w:tcW w:w="3059" w:type="dxa"/>
            <w:noWrap/>
            <w:hideMark/>
          </w:tcPr>
          <w:p w14:paraId="18A71454" w14:textId="77777777" w:rsidR="00C712DC" w:rsidRPr="007B6BAA" w:rsidRDefault="00C712DC" w:rsidP="0095454A">
            <w:r w:rsidRPr="007B6BAA">
              <w:t>2.1   Detección de necesidades de capacitación del equipo del centro</w:t>
            </w:r>
          </w:p>
        </w:tc>
        <w:tc>
          <w:tcPr>
            <w:tcW w:w="3566" w:type="dxa"/>
          </w:tcPr>
          <w:p w14:paraId="5CC3A07F" w14:textId="77777777" w:rsidR="00C712DC" w:rsidRPr="007B6BAA" w:rsidRDefault="00C712DC" w:rsidP="00C712DC">
            <w:pPr>
              <w:jc w:val="both"/>
            </w:pPr>
            <w:r>
              <w:t>Se detectaron las siguientes Brechas en el equipo: Habilidades de negociación, Innovación, Negocios digitales, aspectos tributarios, manejo de base de datos, comunicación asertiva, trabajo en equipo, Análisis de Indicadores y Captación de clientes.</w:t>
            </w:r>
          </w:p>
        </w:tc>
        <w:tc>
          <w:tcPr>
            <w:tcW w:w="2429" w:type="dxa"/>
          </w:tcPr>
          <w:p w14:paraId="57F11B00" w14:textId="77777777" w:rsidR="00C712DC" w:rsidRPr="007B6BAA" w:rsidRDefault="00C712DC" w:rsidP="0095454A">
            <w:r>
              <w:t>Abordar las brechas detectadas mediantes capacitaciones especializadas y mentoreo. Mejorar siempre el trabajo en equipo.</w:t>
            </w:r>
          </w:p>
        </w:tc>
      </w:tr>
      <w:tr w:rsidR="00C712DC" w:rsidRPr="007B6BAA" w14:paraId="0C45AC48" w14:textId="77777777" w:rsidTr="008933CA">
        <w:trPr>
          <w:trHeight w:val="529"/>
        </w:trPr>
        <w:tc>
          <w:tcPr>
            <w:tcW w:w="3059" w:type="dxa"/>
            <w:noWrap/>
            <w:hideMark/>
          </w:tcPr>
          <w:p w14:paraId="0BE8D3A6" w14:textId="77777777" w:rsidR="00C712DC" w:rsidRPr="007B6BAA" w:rsidRDefault="00C712DC" w:rsidP="0095454A">
            <w:r w:rsidRPr="007B6BAA">
              <w:t xml:space="preserve">2.2   Capacitación especializada </w:t>
            </w:r>
            <w:r>
              <w:t xml:space="preserve">que realizará </w:t>
            </w:r>
            <w:r w:rsidRPr="007B6BAA">
              <w:t>al equipo del centro</w:t>
            </w:r>
          </w:p>
        </w:tc>
        <w:tc>
          <w:tcPr>
            <w:tcW w:w="3566" w:type="dxa"/>
          </w:tcPr>
          <w:p w14:paraId="7E0C3934" w14:textId="77777777" w:rsidR="00C712DC" w:rsidRPr="007B6BAA" w:rsidRDefault="00C712DC" w:rsidP="0095454A">
            <w:pPr>
              <w:jc w:val="both"/>
            </w:pPr>
            <w:r>
              <w:t>Conductas del Consumidor, Negociación Comercial, Diseño para la creación de valor, Negocios digitales, Análisis de Indicadores, Captura de Potenciales clientes.</w:t>
            </w:r>
          </w:p>
        </w:tc>
        <w:tc>
          <w:tcPr>
            <w:tcW w:w="2429" w:type="dxa"/>
          </w:tcPr>
          <w:p w14:paraId="35FB7F0B" w14:textId="77777777" w:rsidR="00C712DC" w:rsidRPr="007B6BAA" w:rsidRDefault="00C712DC" w:rsidP="0095454A">
            <w:r>
              <w:t>Traspaso de Competencia y habilidades aprendidas al equipo del CDN y a sus clientes.</w:t>
            </w:r>
          </w:p>
        </w:tc>
      </w:tr>
      <w:tr w:rsidR="00C712DC" w:rsidRPr="007B6BAA" w14:paraId="429C59E7" w14:textId="77777777" w:rsidTr="008933CA">
        <w:trPr>
          <w:trHeight w:val="551"/>
        </w:trPr>
        <w:tc>
          <w:tcPr>
            <w:tcW w:w="3059" w:type="dxa"/>
            <w:noWrap/>
            <w:hideMark/>
          </w:tcPr>
          <w:p w14:paraId="67EEED1E" w14:textId="77777777" w:rsidR="00C712DC" w:rsidRPr="007B6BAA" w:rsidRDefault="00C712DC" w:rsidP="0095454A">
            <w:r w:rsidRPr="007B6BAA">
              <w:t>2.3   Procesos de evaluación y autoevaluación del equipo del centro</w:t>
            </w:r>
          </w:p>
        </w:tc>
        <w:tc>
          <w:tcPr>
            <w:tcW w:w="3566" w:type="dxa"/>
          </w:tcPr>
          <w:p w14:paraId="540B831F" w14:textId="77777777" w:rsidR="00C712DC" w:rsidRPr="007B6BAA" w:rsidRDefault="000D537C" w:rsidP="0095454A">
            <w:pPr>
              <w:jc w:val="both"/>
            </w:pPr>
            <w:r>
              <w:t>Se evaluará al equipo basado en metodología aportada por el Departamento de Recursos Humanos del. Operador</w:t>
            </w:r>
          </w:p>
        </w:tc>
        <w:tc>
          <w:tcPr>
            <w:tcW w:w="2429" w:type="dxa"/>
          </w:tcPr>
          <w:p w14:paraId="58B21354" w14:textId="77777777" w:rsidR="00C712DC" w:rsidRPr="007B6BAA" w:rsidRDefault="000D537C" w:rsidP="0095454A">
            <w:r>
              <w:t xml:space="preserve">Se evaluará </w:t>
            </w:r>
            <w:commentRangeStart w:id="1"/>
            <w:r>
              <w:t>trimestralmente</w:t>
            </w:r>
            <w:commentRangeEnd w:id="1"/>
            <w:r w:rsidR="00E516F6">
              <w:rPr>
                <w:rStyle w:val="Refdecomentario"/>
              </w:rPr>
              <w:commentReference w:id="1"/>
            </w:r>
            <w:r>
              <w:t xml:space="preserve"> de acuerdo a metodología.</w:t>
            </w:r>
          </w:p>
        </w:tc>
      </w:tr>
    </w:tbl>
    <w:p w14:paraId="0331CB56" w14:textId="77777777" w:rsidR="003B7926" w:rsidRDefault="003B7926"/>
    <w:tbl>
      <w:tblPr>
        <w:tblStyle w:val="Tablaconcuadrcula"/>
        <w:tblW w:w="0" w:type="auto"/>
        <w:tblLook w:val="04A0" w:firstRow="1" w:lastRow="0" w:firstColumn="1" w:lastColumn="0" w:noHBand="0" w:noVBand="1"/>
      </w:tblPr>
      <w:tblGrid>
        <w:gridCol w:w="3084"/>
        <w:gridCol w:w="3252"/>
        <w:gridCol w:w="2492"/>
      </w:tblGrid>
      <w:tr w:rsidR="008933CA" w:rsidRPr="007B6BAA" w14:paraId="7421035D" w14:textId="77777777" w:rsidTr="008933CA">
        <w:trPr>
          <w:trHeight w:val="300"/>
        </w:trPr>
        <w:tc>
          <w:tcPr>
            <w:tcW w:w="3084" w:type="dxa"/>
            <w:shd w:val="clear" w:color="auto" w:fill="D9D9D9" w:themeFill="background1" w:themeFillShade="D9"/>
            <w:noWrap/>
            <w:hideMark/>
          </w:tcPr>
          <w:p w14:paraId="2852629B" w14:textId="77777777" w:rsidR="008933CA" w:rsidRPr="007B6BAA" w:rsidRDefault="008933CA" w:rsidP="008933CA">
            <w:pPr>
              <w:rPr>
                <w:b/>
                <w:bCs/>
              </w:rPr>
            </w:pPr>
            <w:r>
              <w:rPr>
                <w:b/>
                <w:bCs/>
              </w:rPr>
              <w:t>3.</w:t>
            </w:r>
            <w:r w:rsidRPr="007B6BAA">
              <w:rPr>
                <w:b/>
                <w:bCs/>
              </w:rPr>
              <w:t xml:space="preserve"> Procesos</w:t>
            </w:r>
            <w:r w:rsidR="0047378F">
              <w:rPr>
                <w:b/>
                <w:bCs/>
              </w:rPr>
              <w:t xml:space="preserve"> </w:t>
            </w:r>
            <w:r w:rsidRPr="007B6BAA">
              <w:rPr>
                <w:b/>
                <w:bCs/>
              </w:rPr>
              <w:t>Internos</w:t>
            </w:r>
          </w:p>
        </w:tc>
        <w:tc>
          <w:tcPr>
            <w:tcW w:w="3478" w:type="dxa"/>
            <w:shd w:val="clear" w:color="auto" w:fill="D9D9D9" w:themeFill="background1" w:themeFillShade="D9"/>
          </w:tcPr>
          <w:p w14:paraId="7B9DAF45" w14:textId="77777777" w:rsidR="008933CA" w:rsidRPr="007B6BAA" w:rsidRDefault="008933CA" w:rsidP="0095454A">
            <w:pPr>
              <w:rPr>
                <w:b/>
                <w:bCs/>
              </w:rPr>
            </w:pPr>
            <w:r>
              <w:rPr>
                <w:b/>
                <w:bCs/>
              </w:rPr>
              <w:t xml:space="preserve">Como se realizará en el próximo período </w:t>
            </w:r>
          </w:p>
        </w:tc>
        <w:tc>
          <w:tcPr>
            <w:tcW w:w="2492" w:type="dxa"/>
            <w:shd w:val="clear" w:color="auto" w:fill="D9D9D9" w:themeFill="background1" w:themeFillShade="D9"/>
          </w:tcPr>
          <w:p w14:paraId="6B59EE8A" w14:textId="77777777" w:rsidR="008933CA" w:rsidRPr="007B6BAA" w:rsidRDefault="008933CA" w:rsidP="0095454A">
            <w:pPr>
              <w:rPr>
                <w:b/>
                <w:bCs/>
              </w:rPr>
            </w:pPr>
            <w:r w:rsidRPr="007B6BAA">
              <w:rPr>
                <w:b/>
                <w:bCs/>
              </w:rPr>
              <w:t xml:space="preserve">Compromisos en este ámbito </w:t>
            </w:r>
          </w:p>
        </w:tc>
      </w:tr>
      <w:tr w:rsidR="003B7926" w:rsidRPr="007B6BAA" w14:paraId="17E222A6" w14:textId="77777777" w:rsidTr="008933CA">
        <w:trPr>
          <w:trHeight w:val="571"/>
        </w:trPr>
        <w:tc>
          <w:tcPr>
            <w:tcW w:w="3084" w:type="dxa"/>
            <w:noWrap/>
            <w:hideMark/>
          </w:tcPr>
          <w:p w14:paraId="318B01E5" w14:textId="77777777" w:rsidR="003B7926" w:rsidRPr="007B6BAA" w:rsidRDefault="003B7926" w:rsidP="0095454A">
            <w:r w:rsidRPr="007B6BAA">
              <w:t>3.1 Captación y Atracción de clientes</w:t>
            </w:r>
            <w:r w:rsidR="00E516F6">
              <w:t xml:space="preserve"> </w:t>
            </w:r>
            <w:r w:rsidRPr="007B6BAA">
              <w:t>( Relato del proceso)</w:t>
            </w:r>
          </w:p>
        </w:tc>
        <w:tc>
          <w:tcPr>
            <w:tcW w:w="3478" w:type="dxa"/>
          </w:tcPr>
          <w:p w14:paraId="3CD47274" w14:textId="77777777" w:rsidR="003B7926" w:rsidRPr="007B6BAA" w:rsidRDefault="00FC644C" w:rsidP="0095454A">
            <w:pPr>
              <w:jc w:val="both"/>
            </w:pPr>
            <w:r>
              <w:t xml:space="preserve">Apoyado por acciones de vinculación eficientes que involucren a entidades de fomento públicas y privadas, y, por otra parte,  la entrega de asesorías y mentorías de alto valor, se atraerá a empresas N2 como foco de la gestión del Centro y captará como clientes a </w:t>
            </w:r>
            <w:r w:rsidR="00662795">
              <w:t>empresas con mayor potencial de crecimiento luego de la intervención.</w:t>
            </w:r>
          </w:p>
        </w:tc>
        <w:tc>
          <w:tcPr>
            <w:tcW w:w="2492" w:type="dxa"/>
            <w:noWrap/>
          </w:tcPr>
          <w:p w14:paraId="3D3791D3" w14:textId="77777777" w:rsidR="003B7926" w:rsidRPr="007B6BAA" w:rsidRDefault="00FC644C" w:rsidP="0095454A">
            <w:r w:rsidRPr="007B6BAA">
              <w:t> </w:t>
            </w:r>
            <w:r>
              <w:t>Atraer a clientes formalizados y crecer en clientes empresas N2 para este tercer año de operación.</w:t>
            </w:r>
          </w:p>
        </w:tc>
      </w:tr>
      <w:tr w:rsidR="003B7926" w:rsidRPr="007B6BAA" w14:paraId="5FEAA48B" w14:textId="77777777" w:rsidTr="008933CA">
        <w:trPr>
          <w:trHeight w:val="282"/>
        </w:trPr>
        <w:tc>
          <w:tcPr>
            <w:tcW w:w="3084" w:type="dxa"/>
            <w:noWrap/>
            <w:hideMark/>
          </w:tcPr>
          <w:p w14:paraId="5957E95C" w14:textId="77777777" w:rsidR="003B7926" w:rsidRPr="007B6BAA" w:rsidRDefault="003B7926" w:rsidP="0095454A">
            <w:r w:rsidRPr="007B6BAA">
              <w:t>3.2   Acciones de promoción y Difusión.</w:t>
            </w:r>
          </w:p>
        </w:tc>
        <w:tc>
          <w:tcPr>
            <w:tcW w:w="3478" w:type="dxa"/>
          </w:tcPr>
          <w:p w14:paraId="1CA04AF6" w14:textId="77777777" w:rsidR="003B7926" w:rsidRPr="007B6BAA" w:rsidRDefault="00662795" w:rsidP="00662795">
            <w:pPr>
              <w:jc w:val="both"/>
            </w:pPr>
            <w:r>
              <w:t xml:space="preserve">Se utilizará la metodología de comunicar no sólo casos de éxito, sino que también de buenas </w:t>
            </w:r>
            <w:r>
              <w:lastRenderedPageBreak/>
              <w:t>prácticas de gestión aplicadas a la intervención con clientes</w:t>
            </w:r>
            <w:r w:rsidR="00780278">
              <w:t xml:space="preserve">. </w:t>
            </w:r>
          </w:p>
        </w:tc>
        <w:tc>
          <w:tcPr>
            <w:tcW w:w="2492" w:type="dxa"/>
          </w:tcPr>
          <w:p w14:paraId="4C687F5B" w14:textId="77777777" w:rsidR="003B7926" w:rsidRPr="007B6BAA" w:rsidRDefault="00662795" w:rsidP="0095454A">
            <w:r w:rsidRPr="007B6BAA">
              <w:lastRenderedPageBreak/>
              <w:t> </w:t>
            </w:r>
            <w:r>
              <w:t>Documenta</w:t>
            </w:r>
            <w:r w:rsidR="00780278">
              <w:t>ción de 4 (</w:t>
            </w:r>
            <w:r w:rsidR="003F1D5F">
              <w:t>uno trimestral</w:t>
            </w:r>
            <w:r w:rsidR="00780278">
              <w:t>)</w:t>
            </w:r>
            <w:r>
              <w:t xml:space="preserve"> casos de éxito en el tercer año de operación y difusión </w:t>
            </w:r>
            <w:r>
              <w:lastRenderedPageBreak/>
              <w:t>regu</w:t>
            </w:r>
            <w:r w:rsidR="00780278">
              <w:t>lar de buenas prácticas de gestión.</w:t>
            </w:r>
          </w:p>
        </w:tc>
      </w:tr>
      <w:tr w:rsidR="00662795" w:rsidRPr="007B6BAA" w14:paraId="6FEA8C59" w14:textId="77777777" w:rsidTr="008933CA">
        <w:trPr>
          <w:trHeight w:val="271"/>
        </w:trPr>
        <w:tc>
          <w:tcPr>
            <w:tcW w:w="3084" w:type="dxa"/>
            <w:noWrap/>
            <w:hideMark/>
          </w:tcPr>
          <w:p w14:paraId="47B74435" w14:textId="77777777" w:rsidR="00662795" w:rsidRPr="007B6BAA" w:rsidRDefault="00662795" w:rsidP="0095454A">
            <w:r w:rsidRPr="007B6BAA">
              <w:lastRenderedPageBreak/>
              <w:t>3.3   Seguimiento sistemático de los clientes</w:t>
            </w:r>
          </w:p>
        </w:tc>
        <w:tc>
          <w:tcPr>
            <w:tcW w:w="3478" w:type="dxa"/>
          </w:tcPr>
          <w:p w14:paraId="5CC08BAE" w14:textId="77777777" w:rsidR="00662795" w:rsidRPr="007B6BAA" w:rsidRDefault="00662795" w:rsidP="0095454A">
            <w:pPr>
              <w:jc w:val="both"/>
            </w:pPr>
            <w:r>
              <w:t>Se tendrá comunicación regular con la nueva cartera de clientes</w:t>
            </w:r>
            <w:r w:rsidR="00780278">
              <w:t xml:space="preserve">  a través de los diversos medios disponibles.</w:t>
            </w:r>
          </w:p>
        </w:tc>
        <w:tc>
          <w:tcPr>
            <w:tcW w:w="2492" w:type="dxa"/>
            <w:noWrap/>
          </w:tcPr>
          <w:p w14:paraId="61BB77AA" w14:textId="77777777" w:rsidR="00662795" w:rsidRPr="007B6BAA" w:rsidRDefault="00662795" w:rsidP="0095454A">
            <w:r>
              <w:t>A lo menos una vez al mes se tendrá contacto de seguim</w:t>
            </w:r>
            <w:r w:rsidR="00780278">
              <w:t>iento, mediante diversos medios: reuniones en el Centro o en el Satélite</w:t>
            </w:r>
            <w:r>
              <w:t xml:space="preserve"> la visita en terreno o la invitación a actividades de capacitación.</w:t>
            </w:r>
          </w:p>
        </w:tc>
      </w:tr>
    </w:tbl>
    <w:p w14:paraId="14171923" w14:textId="77777777" w:rsidR="003B7926" w:rsidRDefault="003B7926"/>
    <w:tbl>
      <w:tblPr>
        <w:tblStyle w:val="Tablaconcuadrcula"/>
        <w:tblW w:w="0" w:type="auto"/>
        <w:tblLook w:val="04A0" w:firstRow="1" w:lastRow="0" w:firstColumn="1" w:lastColumn="0" w:noHBand="0" w:noVBand="1"/>
      </w:tblPr>
      <w:tblGrid>
        <w:gridCol w:w="1378"/>
        <w:gridCol w:w="1430"/>
        <w:gridCol w:w="1364"/>
        <w:gridCol w:w="1583"/>
        <w:gridCol w:w="1701"/>
        <w:gridCol w:w="1372"/>
      </w:tblGrid>
      <w:tr w:rsidR="003B7926" w14:paraId="16532682" w14:textId="77777777" w:rsidTr="0095454A">
        <w:tc>
          <w:tcPr>
            <w:tcW w:w="9054" w:type="dxa"/>
            <w:gridSpan w:val="6"/>
            <w:shd w:val="clear" w:color="auto" w:fill="BFBFBF" w:themeFill="background1" w:themeFillShade="BF"/>
          </w:tcPr>
          <w:p w14:paraId="552C0F48" w14:textId="77777777" w:rsidR="003B7926" w:rsidRPr="00DE01DB" w:rsidRDefault="003B7926" w:rsidP="008933CA">
            <w:pPr>
              <w:rPr>
                <w:b/>
              </w:rPr>
            </w:pPr>
            <w:r>
              <w:rPr>
                <w:b/>
                <w:bCs/>
              </w:rPr>
              <w:t xml:space="preserve">4. </w:t>
            </w:r>
            <w:r w:rsidRPr="00C964A2">
              <w:rPr>
                <w:b/>
                <w:bCs/>
              </w:rPr>
              <w:t>Cobertura del Centro.</w:t>
            </w:r>
          </w:p>
        </w:tc>
      </w:tr>
      <w:tr w:rsidR="003B7926" w14:paraId="197790EB" w14:textId="77777777" w:rsidTr="0095454A">
        <w:tc>
          <w:tcPr>
            <w:tcW w:w="1431" w:type="dxa"/>
            <w:shd w:val="clear" w:color="auto" w:fill="BFBFBF" w:themeFill="background1" w:themeFillShade="BF"/>
          </w:tcPr>
          <w:p w14:paraId="0EF90B8B" w14:textId="77777777" w:rsidR="003B7926" w:rsidRPr="00DE01DB" w:rsidRDefault="003B7926" w:rsidP="0095454A">
            <w:pPr>
              <w:rPr>
                <w:b/>
              </w:rPr>
            </w:pPr>
            <w:r w:rsidRPr="00DE01DB">
              <w:rPr>
                <w:b/>
              </w:rPr>
              <w:t>Centro</w:t>
            </w:r>
          </w:p>
        </w:tc>
        <w:tc>
          <w:tcPr>
            <w:tcW w:w="1457" w:type="dxa"/>
            <w:shd w:val="clear" w:color="auto" w:fill="BFBFBF" w:themeFill="background1" w:themeFillShade="BF"/>
          </w:tcPr>
          <w:p w14:paraId="033C7D76" w14:textId="77777777" w:rsidR="003B7926" w:rsidRPr="00DE01DB" w:rsidRDefault="003B7926" w:rsidP="0095454A">
            <w:pPr>
              <w:rPr>
                <w:b/>
              </w:rPr>
            </w:pPr>
            <w:r w:rsidRPr="00DE01DB">
              <w:rPr>
                <w:b/>
              </w:rPr>
              <w:t xml:space="preserve">Ubicación </w:t>
            </w:r>
          </w:p>
        </w:tc>
        <w:tc>
          <w:tcPr>
            <w:tcW w:w="1408" w:type="dxa"/>
            <w:shd w:val="clear" w:color="auto" w:fill="BFBFBF" w:themeFill="background1" w:themeFillShade="BF"/>
          </w:tcPr>
          <w:p w14:paraId="42A5C08E" w14:textId="77777777" w:rsidR="003B7926" w:rsidRPr="00DE01DB" w:rsidRDefault="003B7926" w:rsidP="0095454A">
            <w:pPr>
              <w:rPr>
                <w:b/>
              </w:rPr>
            </w:pPr>
            <w:r w:rsidRPr="00DE01DB">
              <w:rPr>
                <w:b/>
              </w:rPr>
              <w:t>Dirección</w:t>
            </w:r>
          </w:p>
        </w:tc>
        <w:tc>
          <w:tcPr>
            <w:tcW w:w="1632" w:type="dxa"/>
            <w:shd w:val="clear" w:color="auto" w:fill="BFBFBF" w:themeFill="background1" w:themeFillShade="BF"/>
          </w:tcPr>
          <w:p w14:paraId="6BD8D343" w14:textId="77777777" w:rsidR="003B7926" w:rsidRPr="00DE01DB" w:rsidRDefault="003B7926" w:rsidP="0095454A">
            <w:pPr>
              <w:rPr>
                <w:b/>
              </w:rPr>
            </w:pPr>
            <w:r w:rsidRPr="00DE01DB">
              <w:rPr>
                <w:b/>
              </w:rPr>
              <w:t>Cobertura</w:t>
            </w:r>
          </w:p>
        </w:tc>
        <w:tc>
          <w:tcPr>
            <w:tcW w:w="1701" w:type="dxa"/>
            <w:shd w:val="clear" w:color="auto" w:fill="BFBFBF" w:themeFill="background1" w:themeFillShade="BF"/>
          </w:tcPr>
          <w:p w14:paraId="782DB3B6" w14:textId="77777777" w:rsidR="003B7926" w:rsidRPr="00DE01DB" w:rsidRDefault="003B7926" w:rsidP="0095454A">
            <w:pPr>
              <w:rPr>
                <w:b/>
              </w:rPr>
            </w:pPr>
            <w:r w:rsidRPr="00DE01DB">
              <w:rPr>
                <w:b/>
              </w:rPr>
              <w:t xml:space="preserve">Días de Funcionamiento </w:t>
            </w:r>
          </w:p>
        </w:tc>
        <w:tc>
          <w:tcPr>
            <w:tcW w:w="1425" w:type="dxa"/>
            <w:shd w:val="clear" w:color="auto" w:fill="BFBFBF" w:themeFill="background1" w:themeFillShade="BF"/>
          </w:tcPr>
          <w:p w14:paraId="0C544F6C" w14:textId="77777777" w:rsidR="003B7926" w:rsidRPr="00DE01DB" w:rsidRDefault="003B7926" w:rsidP="0095454A">
            <w:pPr>
              <w:rPr>
                <w:b/>
              </w:rPr>
            </w:pPr>
            <w:r w:rsidRPr="00DE01DB">
              <w:rPr>
                <w:b/>
              </w:rPr>
              <w:t xml:space="preserve">Horarios </w:t>
            </w:r>
          </w:p>
        </w:tc>
      </w:tr>
      <w:tr w:rsidR="003B7926" w14:paraId="15077B43" w14:textId="77777777" w:rsidTr="0095454A">
        <w:tc>
          <w:tcPr>
            <w:tcW w:w="1431" w:type="dxa"/>
          </w:tcPr>
          <w:p w14:paraId="1AFF4112" w14:textId="77777777" w:rsidR="003B7926" w:rsidRDefault="003B7926" w:rsidP="0095454A">
            <w:r>
              <w:t>Principal</w:t>
            </w:r>
          </w:p>
        </w:tc>
        <w:tc>
          <w:tcPr>
            <w:tcW w:w="1457" w:type="dxa"/>
          </w:tcPr>
          <w:p w14:paraId="4D6FFDC5" w14:textId="77777777" w:rsidR="003B7926" w:rsidRDefault="0047378F" w:rsidP="0095454A">
            <w:r>
              <w:t>Cauquenes</w:t>
            </w:r>
          </w:p>
        </w:tc>
        <w:tc>
          <w:tcPr>
            <w:tcW w:w="1408" w:type="dxa"/>
          </w:tcPr>
          <w:p w14:paraId="5C674B2D" w14:textId="77777777" w:rsidR="003B7926" w:rsidRDefault="0047378F" w:rsidP="0095454A">
            <w:r>
              <w:t xml:space="preserve">Antonio Varas </w:t>
            </w:r>
            <w:r w:rsidR="00780278">
              <w:t xml:space="preserve">N° </w:t>
            </w:r>
            <w:r>
              <w:t>206</w:t>
            </w:r>
          </w:p>
        </w:tc>
        <w:tc>
          <w:tcPr>
            <w:tcW w:w="1632" w:type="dxa"/>
          </w:tcPr>
          <w:p w14:paraId="01BBEAAC" w14:textId="77777777" w:rsidR="003B7926" w:rsidRDefault="0047378F" w:rsidP="0095454A">
            <w:r>
              <w:t>Cauquenes, Pelluhue, Chanco</w:t>
            </w:r>
          </w:p>
        </w:tc>
        <w:tc>
          <w:tcPr>
            <w:tcW w:w="1701" w:type="dxa"/>
          </w:tcPr>
          <w:p w14:paraId="21267C7D" w14:textId="77777777" w:rsidR="003B7926" w:rsidRDefault="0047378F" w:rsidP="0095454A">
            <w:r>
              <w:t xml:space="preserve">Lunes a Viernes </w:t>
            </w:r>
          </w:p>
        </w:tc>
        <w:tc>
          <w:tcPr>
            <w:tcW w:w="1425" w:type="dxa"/>
          </w:tcPr>
          <w:p w14:paraId="5C827D22" w14:textId="77777777" w:rsidR="003B7926" w:rsidRDefault="0047378F" w:rsidP="0095454A">
            <w:r>
              <w:t>9.00 a 18.</w:t>
            </w:r>
            <w:commentRangeStart w:id="2"/>
            <w:r>
              <w:t>00</w:t>
            </w:r>
            <w:commentRangeEnd w:id="2"/>
            <w:r w:rsidR="000938AD">
              <w:rPr>
                <w:rStyle w:val="Refdecomentario"/>
              </w:rPr>
              <w:commentReference w:id="2"/>
            </w:r>
          </w:p>
        </w:tc>
      </w:tr>
      <w:tr w:rsidR="003B7926" w14:paraId="36AD2C47" w14:textId="77777777" w:rsidTr="0095454A">
        <w:tc>
          <w:tcPr>
            <w:tcW w:w="1431" w:type="dxa"/>
          </w:tcPr>
          <w:p w14:paraId="5B10811F" w14:textId="77777777" w:rsidR="003B7926" w:rsidRDefault="003B7926" w:rsidP="0095454A">
            <w:r>
              <w:t>Satélite 1</w:t>
            </w:r>
          </w:p>
        </w:tc>
        <w:tc>
          <w:tcPr>
            <w:tcW w:w="1457" w:type="dxa"/>
          </w:tcPr>
          <w:p w14:paraId="23365C8D" w14:textId="77777777" w:rsidR="003B7926" w:rsidRDefault="0047378F" w:rsidP="0095454A">
            <w:r>
              <w:t>Empedrado</w:t>
            </w:r>
          </w:p>
        </w:tc>
        <w:tc>
          <w:tcPr>
            <w:tcW w:w="1408" w:type="dxa"/>
          </w:tcPr>
          <w:p w14:paraId="77896257" w14:textId="77777777" w:rsidR="003B7926" w:rsidRDefault="00780278" w:rsidP="0095454A">
            <w:r>
              <w:t>O´Higgins N° 422</w:t>
            </w:r>
          </w:p>
        </w:tc>
        <w:tc>
          <w:tcPr>
            <w:tcW w:w="1632" w:type="dxa"/>
          </w:tcPr>
          <w:p w14:paraId="6C8E8AA1" w14:textId="77777777" w:rsidR="003B7926" w:rsidRDefault="0047378F" w:rsidP="0095454A">
            <w:r>
              <w:t>Empedrado</w:t>
            </w:r>
          </w:p>
        </w:tc>
        <w:tc>
          <w:tcPr>
            <w:tcW w:w="1701" w:type="dxa"/>
          </w:tcPr>
          <w:p w14:paraId="33693967" w14:textId="77777777" w:rsidR="003B7926" w:rsidRDefault="0047378F" w:rsidP="0095454A">
            <w:r>
              <w:t>Viernes</w:t>
            </w:r>
          </w:p>
        </w:tc>
        <w:tc>
          <w:tcPr>
            <w:tcW w:w="1425" w:type="dxa"/>
          </w:tcPr>
          <w:p w14:paraId="66CBE215" w14:textId="77777777" w:rsidR="003B7926" w:rsidRDefault="0047378F" w:rsidP="0095454A">
            <w:r>
              <w:t>9.00 a 18.00</w:t>
            </w:r>
          </w:p>
        </w:tc>
      </w:tr>
      <w:tr w:rsidR="003B7926" w14:paraId="29EAABBB" w14:textId="77777777" w:rsidTr="0095454A">
        <w:tc>
          <w:tcPr>
            <w:tcW w:w="1431" w:type="dxa"/>
          </w:tcPr>
          <w:p w14:paraId="2C8861CE" w14:textId="77777777" w:rsidR="003B7926" w:rsidRDefault="003B7926" w:rsidP="003B7926">
            <w:r>
              <w:t>Satélite 2</w:t>
            </w:r>
          </w:p>
        </w:tc>
        <w:tc>
          <w:tcPr>
            <w:tcW w:w="1457" w:type="dxa"/>
          </w:tcPr>
          <w:p w14:paraId="071CF6A7" w14:textId="77777777" w:rsidR="003B7926" w:rsidRDefault="003B7926" w:rsidP="0095454A"/>
        </w:tc>
        <w:tc>
          <w:tcPr>
            <w:tcW w:w="1408" w:type="dxa"/>
          </w:tcPr>
          <w:p w14:paraId="7D2F1DD6" w14:textId="77777777" w:rsidR="003B7926" w:rsidRDefault="003B7926" w:rsidP="0095454A"/>
        </w:tc>
        <w:tc>
          <w:tcPr>
            <w:tcW w:w="1632" w:type="dxa"/>
          </w:tcPr>
          <w:p w14:paraId="13988B4A" w14:textId="77777777" w:rsidR="003B7926" w:rsidRDefault="003B7926" w:rsidP="0095454A"/>
        </w:tc>
        <w:tc>
          <w:tcPr>
            <w:tcW w:w="1701" w:type="dxa"/>
          </w:tcPr>
          <w:p w14:paraId="5E2442C3" w14:textId="77777777" w:rsidR="003B7926" w:rsidRDefault="003B7926" w:rsidP="0095454A"/>
        </w:tc>
        <w:tc>
          <w:tcPr>
            <w:tcW w:w="1425" w:type="dxa"/>
          </w:tcPr>
          <w:p w14:paraId="30222B7A" w14:textId="77777777" w:rsidR="003B7926" w:rsidRDefault="003B7926" w:rsidP="0095454A"/>
        </w:tc>
      </w:tr>
      <w:tr w:rsidR="003B7926" w14:paraId="07F263EF" w14:textId="77777777" w:rsidTr="0095454A">
        <w:tc>
          <w:tcPr>
            <w:tcW w:w="1431" w:type="dxa"/>
          </w:tcPr>
          <w:p w14:paraId="2ACAF88E" w14:textId="77777777" w:rsidR="003B7926" w:rsidRDefault="003B7926" w:rsidP="0095454A">
            <w:r>
              <w:t>Atención Remota 1</w:t>
            </w:r>
          </w:p>
        </w:tc>
        <w:tc>
          <w:tcPr>
            <w:tcW w:w="1457" w:type="dxa"/>
          </w:tcPr>
          <w:p w14:paraId="47AE2E56" w14:textId="77777777" w:rsidR="003B7926" w:rsidRDefault="003B7926" w:rsidP="0095454A"/>
        </w:tc>
        <w:tc>
          <w:tcPr>
            <w:tcW w:w="1408" w:type="dxa"/>
          </w:tcPr>
          <w:p w14:paraId="00346F6A" w14:textId="77777777" w:rsidR="003B7926" w:rsidRDefault="003B7926" w:rsidP="0095454A"/>
        </w:tc>
        <w:tc>
          <w:tcPr>
            <w:tcW w:w="1632" w:type="dxa"/>
          </w:tcPr>
          <w:p w14:paraId="76A2E4A2" w14:textId="77777777" w:rsidR="003B7926" w:rsidRDefault="003B7926" w:rsidP="0095454A"/>
        </w:tc>
        <w:tc>
          <w:tcPr>
            <w:tcW w:w="1701" w:type="dxa"/>
          </w:tcPr>
          <w:p w14:paraId="622A24B8" w14:textId="77777777" w:rsidR="003B7926" w:rsidRDefault="003B7926" w:rsidP="0095454A"/>
        </w:tc>
        <w:tc>
          <w:tcPr>
            <w:tcW w:w="1425" w:type="dxa"/>
          </w:tcPr>
          <w:p w14:paraId="05CF9777" w14:textId="77777777" w:rsidR="003B7926" w:rsidRDefault="003B7926" w:rsidP="0095454A"/>
        </w:tc>
      </w:tr>
      <w:tr w:rsidR="003B7926" w14:paraId="06464B6A" w14:textId="77777777" w:rsidTr="0095454A">
        <w:tc>
          <w:tcPr>
            <w:tcW w:w="1431" w:type="dxa"/>
          </w:tcPr>
          <w:p w14:paraId="78F08809" w14:textId="77777777" w:rsidR="003B7926" w:rsidRDefault="003B7926" w:rsidP="0095454A">
            <w:r>
              <w:t>Atención Remota2</w:t>
            </w:r>
          </w:p>
        </w:tc>
        <w:tc>
          <w:tcPr>
            <w:tcW w:w="1457" w:type="dxa"/>
          </w:tcPr>
          <w:p w14:paraId="3E9FB4A9" w14:textId="77777777" w:rsidR="003B7926" w:rsidRDefault="003B7926" w:rsidP="0095454A"/>
        </w:tc>
        <w:tc>
          <w:tcPr>
            <w:tcW w:w="1408" w:type="dxa"/>
          </w:tcPr>
          <w:p w14:paraId="0FE286BF" w14:textId="77777777" w:rsidR="003B7926" w:rsidRDefault="003B7926" w:rsidP="0095454A"/>
        </w:tc>
        <w:tc>
          <w:tcPr>
            <w:tcW w:w="1632" w:type="dxa"/>
          </w:tcPr>
          <w:p w14:paraId="00580E94" w14:textId="77777777" w:rsidR="003B7926" w:rsidRDefault="003B7926" w:rsidP="0095454A"/>
        </w:tc>
        <w:tc>
          <w:tcPr>
            <w:tcW w:w="1701" w:type="dxa"/>
          </w:tcPr>
          <w:p w14:paraId="4D33F84A" w14:textId="77777777" w:rsidR="003B7926" w:rsidRDefault="003B7926" w:rsidP="0095454A"/>
        </w:tc>
        <w:tc>
          <w:tcPr>
            <w:tcW w:w="1425" w:type="dxa"/>
          </w:tcPr>
          <w:p w14:paraId="5DC91562" w14:textId="77777777" w:rsidR="003B7926" w:rsidRDefault="003B7926" w:rsidP="0095454A"/>
        </w:tc>
      </w:tr>
    </w:tbl>
    <w:p w14:paraId="51C7C9D2" w14:textId="77777777" w:rsidR="003B7926" w:rsidRDefault="003B7926"/>
    <w:p w14:paraId="78964C7C" w14:textId="77777777" w:rsidR="003B7926" w:rsidRPr="00C14A6F" w:rsidRDefault="008B5658">
      <w:r w:rsidRPr="00C14A6F">
        <w:br w:type="page"/>
      </w:r>
    </w:p>
    <w:tbl>
      <w:tblPr>
        <w:tblStyle w:val="Tablaconcuadrcula"/>
        <w:tblW w:w="0" w:type="auto"/>
        <w:tblLook w:val="04A0" w:firstRow="1" w:lastRow="0" w:firstColumn="1" w:lastColumn="0" w:noHBand="0" w:noVBand="1"/>
      </w:tblPr>
      <w:tblGrid>
        <w:gridCol w:w="3078"/>
        <w:gridCol w:w="3322"/>
        <w:gridCol w:w="2428"/>
      </w:tblGrid>
      <w:tr w:rsidR="008933CA" w:rsidRPr="00C964A2" w14:paraId="6F884164" w14:textId="77777777" w:rsidTr="008933CA">
        <w:trPr>
          <w:trHeight w:val="300"/>
        </w:trPr>
        <w:tc>
          <w:tcPr>
            <w:tcW w:w="3157" w:type="dxa"/>
            <w:shd w:val="clear" w:color="auto" w:fill="D9D9D9" w:themeFill="background1" w:themeFillShade="D9"/>
            <w:noWrap/>
            <w:hideMark/>
          </w:tcPr>
          <w:p w14:paraId="39013106" w14:textId="77777777" w:rsidR="008933CA" w:rsidRPr="00C964A2" w:rsidRDefault="008933CA" w:rsidP="008933CA">
            <w:pPr>
              <w:rPr>
                <w:b/>
                <w:bCs/>
              </w:rPr>
            </w:pPr>
            <w:r w:rsidRPr="00C964A2">
              <w:rPr>
                <w:b/>
                <w:bCs/>
              </w:rPr>
              <w:lastRenderedPageBreak/>
              <w:t>5. Perspectiva de clientes:</w:t>
            </w:r>
          </w:p>
        </w:tc>
        <w:tc>
          <w:tcPr>
            <w:tcW w:w="3408" w:type="dxa"/>
            <w:shd w:val="clear" w:color="auto" w:fill="D9D9D9" w:themeFill="background1" w:themeFillShade="D9"/>
          </w:tcPr>
          <w:p w14:paraId="7DC2964E" w14:textId="77777777" w:rsidR="008933CA" w:rsidRPr="007B6BAA" w:rsidRDefault="008933CA" w:rsidP="0095454A">
            <w:pPr>
              <w:rPr>
                <w:b/>
                <w:bCs/>
              </w:rPr>
            </w:pPr>
            <w:r>
              <w:rPr>
                <w:b/>
                <w:bCs/>
              </w:rPr>
              <w:t xml:space="preserve">Como se realizará en el próximo período </w:t>
            </w:r>
          </w:p>
        </w:tc>
        <w:tc>
          <w:tcPr>
            <w:tcW w:w="2489" w:type="dxa"/>
            <w:shd w:val="clear" w:color="auto" w:fill="D9D9D9" w:themeFill="background1" w:themeFillShade="D9"/>
          </w:tcPr>
          <w:p w14:paraId="2D0D3A74" w14:textId="77777777" w:rsidR="008933CA" w:rsidRPr="007B6BAA" w:rsidRDefault="008933CA" w:rsidP="0095454A">
            <w:pPr>
              <w:rPr>
                <w:b/>
                <w:bCs/>
              </w:rPr>
            </w:pPr>
            <w:r w:rsidRPr="007B6BAA">
              <w:rPr>
                <w:b/>
                <w:bCs/>
              </w:rPr>
              <w:t xml:space="preserve">Compromisos en este ámbito </w:t>
            </w:r>
          </w:p>
        </w:tc>
      </w:tr>
      <w:tr w:rsidR="003B7926" w:rsidRPr="00C964A2" w14:paraId="76E7327F" w14:textId="77777777" w:rsidTr="008933CA">
        <w:trPr>
          <w:trHeight w:val="600"/>
        </w:trPr>
        <w:tc>
          <w:tcPr>
            <w:tcW w:w="3157" w:type="dxa"/>
            <w:noWrap/>
            <w:hideMark/>
          </w:tcPr>
          <w:p w14:paraId="59417D95" w14:textId="77777777" w:rsidR="003B7926" w:rsidRPr="00C964A2" w:rsidRDefault="003B7926" w:rsidP="0095454A">
            <w:r w:rsidRPr="00C964A2">
              <w:t>5.2   Servicios del centro según segmento de clientes.( Relato del proceso)</w:t>
            </w:r>
          </w:p>
        </w:tc>
        <w:tc>
          <w:tcPr>
            <w:tcW w:w="3408" w:type="dxa"/>
            <w:noWrap/>
          </w:tcPr>
          <w:p w14:paraId="407B9877" w14:textId="77777777" w:rsidR="003B7926" w:rsidRPr="00C964A2" w:rsidRDefault="002C6C08" w:rsidP="00E63470">
            <w:r>
              <w:t xml:space="preserve">Para los emprendedores Clientes N1, existen Capacitaciones como  iniciar tu propio negocio, Contabilidad básica y Modelo de Negocio, la cual está disponible en una agenda regular de capacitaciones en la web de centros. Para nuestros Clientes N2 existen asesorías personalizadas y de alto valor las cuales se prioriza en cuanto a su realización en su empresa. Estas asesorías son desarrolladas en el contexto de cada negocio. </w:t>
            </w:r>
          </w:p>
        </w:tc>
        <w:tc>
          <w:tcPr>
            <w:tcW w:w="2489" w:type="dxa"/>
            <w:noWrap/>
          </w:tcPr>
          <w:p w14:paraId="6094F72D" w14:textId="77777777" w:rsidR="003B7926" w:rsidRDefault="002C6C08" w:rsidP="002C6C08">
            <w:r>
              <w:t xml:space="preserve">Disponer de agenda </w:t>
            </w:r>
            <w:commentRangeStart w:id="3"/>
            <w:r>
              <w:t>regular</w:t>
            </w:r>
            <w:commentRangeEnd w:id="3"/>
            <w:r w:rsidR="000938AD">
              <w:rPr>
                <w:rStyle w:val="Refdecomentario"/>
              </w:rPr>
              <w:commentReference w:id="3"/>
            </w:r>
            <w:r>
              <w:t xml:space="preserve"> de Capacitación.</w:t>
            </w:r>
          </w:p>
          <w:p w14:paraId="4DDB7368" w14:textId="77777777" w:rsidR="002C6C08" w:rsidRPr="00C964A2" w:rsidRDefault="002C6C08" w:rsidP="002C6C08">
            <w:r>
              <w:t>Incrementar la intervención en terreno para empresarios N2.</w:t>
            </w:r>
          </w:p>
        </w:tc>
      </w:tr>
      <w:tr w:rsidR="003B7926" w:rsidRPr="00C964A2" w14:paraId="472A041A" w14:textId="77777777" w:rsidTr="008933CA">
        <w:trPr>
          <w:trHeight w:val="334"/>
        </w:trPr>
        <w:tc>
          <w:tcPr>
            <w:tcW w:w="3157" w:type="dxa"/>
            <w:noWrap/>
            <w:hideMark/>
          </w:tcPr>
          <w:p w14:paraId="1E892A8D" w14:textId="77777777" w:rsidR="003B7926" w:rsidRPr="00C964A2" w:rsidRDefault="00E63470" w:rsidP="00E63470">
            <w:r>
              <w:t>5.2.1</w:t>
            </w:r>
            <w:r w:rsidR="003B7926" w:rsidRPr="00C964A2">
              <w:t xml:space="preserve"> Capacitación</w:t>
            </w:r>
          </w:p>
        </w:tc>
        <w:tc>
          <w:tcPr>
            <w:tcW w:w="3408" w:type="dxa"/>
          </w:tcPr>
          <w:p w14:paraId="0F3212CE" w14:textId="77777777" w:rsidR="003B7926" w:rsidRPr="00C964A2" w:rsidRDefault="0095454A" w:rsidP="00E63470">
            <w:pPr>
              <w:jc w:val="both"/>
            </w:pPr>
            <w:r>
              <w:t>Las acciones de capacitación se darán en los tres formatos definidos (Charlas,  Talleres y Seminarios). Además se realizará una segunda versión de la “Escuela de Mujeres” y se compartirá cursos en formato on line.</w:t>
            </w:r>
          </w:p>
        </w:tc>
        <w:tc>
          <w:tcPr>
            <w:tcW w:w="2489" w:type="dxa"/>
          </w:tcPr>
          <w:p w14:paraId="0F08296D" w14:textId="77777777" w:rsidR="003B7926" w:rsidRPr="00C964A2" w:rsidRDefault="0095454A" w:rsidP="00E63470">
            <w:r>
              <w:t>Disponer de agenda regular en las cuatro comunas presentes en el territorio atendido.</w:t>
            </w:r>
          </w:p>
        </w:tc>
      </w:tr>
      <w:tr w:rsidR="003B7926" w:rsidRPr="00C964A2" w14:paraId="48F0A7B2" w14:textId="77777777" w:rsidTr="008933CA">
        <w:trPr>
          <w:trHeight w:val="283"/>
        </w:trPr>
        <w:tc>
          <w:tcPr>
            <w:tcW w:w="3157" w:type="dxa"/>
            <w:noWrap/>
            <w:hideMark/>
          </w:tcPr>
          <w:p w14:paraId="31EC3A8E" w14:textId="77777777" w:rsidR="003B7926" w:rsidRPr="00C964A2" w:rsidRDefault="00E63470" w:rsidP="00E63470">
            <w:r>
              <w:t>5.2.2</w:t>
            </w:r>
            <w:r w:rsidR="003B7926" w:rsidRPr="00C964A2">
              <w:t xml:space="preserve"> Asesoría</w:t>
            </w:r>
          </w:p>
        </w:tc>
        <w:tc>
          <w:tcPr>
            <w:tcW w:w="3408" w:type="dxa"/>
          </w:tcPr>
          <w:p w14:paraId="4E8F1CA5" w14:textId="77777777" w:rsidR="003B7926" w:rsidRPr="00C964A2" w:rsidRDefault="0095454A" w:rsidP="00E63470">
            <w:pPr>
              <w:jc w:val="both"/>
            </w:pPr>
            <w:r>
              <w:t>La asesoría estará basada en la complementación de las capacidades y habilidades de cada uno de los miembros del equipo del CDN.</w:t>
            </w:r>
          </w:p>
        </w:tc>
        <w:tc>
          <w:tcPr>
            <w:tcW w:w="2489" w:type="dxa"/>
          </w:tcPr>
          <w:p w14:paraId="634AD595" w14:textId="77777777" w:rsidR="003B7926" w:rsidRPr="00C964A2" w:rsidRDefault="0095454A" w:rsidP="00E63470">
            <w:r>
              <w:t>Realizar asesoría valorada por los clientes, pertinente y de calidad.</w:t>
            </w:r>
          </w:p>
        </w:tc>
      </w:tr>
      <w:tr w:rsidR="003B7926" w:rsidRPr="00C964A2" w14:paraId="1C946EF0" w14:textId="77777777" w:rsidTr="008933CA">
        <w:trPr>
          <w:trHeight w:val="272"/>
        </w:trPr>
        <w:tc>
          <w:tcPr>
            <w:tcW w:w="3157" w:type="dxa"/>
            <w:noWrap/>
            <w:hideMark/>
          </w:tcPr>
          <w:p w14:paraId="535E2716" w14:textId="77777777" w:rsidR="003B7926" w:rsidRPr="00C964A2" w:rsidRDefault="003B7926" w:rsidP="00E63470">
            <w:r w:rsidRPr="00C964A2">
              <w:t>5.2.3 Asesoría especializada</w:t>
            </w:r>
          </w:p>
        </w:tc>
        <w:tc>
          <w:tcPr>
            <w:tcW w:w="3408" w:type="dxa"/>
          </w:tcPr>
          <w:p w14:paraId="5E0E6583" w14:textId="77777777" w:rsidR="003B7926" w:rsidRPr="00C964A2" w:rsidRDefault="0095454A" w:rsidP="00E63470">
            <w:pPr>
              <w:jc w:val="both"/>
            </w:pPr>
            <w:r>
              <w:t>Se basará en potenci</w:t>
            </w:r>
            <w:r w:rsidR="004E211F">
              <w:t xml:space="preserve">ar el área de ventas, laboral, </w:t>
            </w:r>
            <w:r>
              <w:t>inversiones</w:t>
            </w:r>
            <w:r w:rsidR="004E211F">
              <w:t xml:space="preserve"> (financiamiento), gestión de calidad,</w:t>
            </w:r>
            <w:r>
              <w:t xml:space="preserve"> </w:t>
            </w:r>
            <w:r w:rsidR="004E211F">
              <w:t>de los clientes empresas N2</w:t>
            </w:r>
            <w:r>
              <w:t>.</w:t>
            </w:r>
          </w:p>
        </w:tc>
        <w:tc>
          <w:tcPr>
            <w:tcW w:w="2489" w:type="dxa"/>
          </w:tcPr>
          <w:p w14:paraId="6959295B" w14:textId="77777777" w:rsidR="003B7926" w:rsidRPr="00C964A2" w:rsidRDefault="004E211F" w:rsidP="00E63470">
            <w:r>
              <w:t xml:space="preserve">Se realizará a través de los socios </w:t>
            </w:r>
            <w:commentRangeStart w:id="4"/>
            <w:r>
              <w:t>estratégicos</w:t>
            </w:r>
            <w:commentRangeEnd w:id="4"/>
            <w:r w:rsidR="004D45B0">
              <w:rPr>
                <w:rStyle w:val="Refdecomentario"/>
              </w:rPr>
              <w:commentReference w:id="4"/>
            </w:r>
            <w:r>
              <w:t xml:space="preserve"> actuales (Servicio de Impuestos Internos, Banco Estado, entre otros) y se incorporará nuevos convenios de cooperación (organismos certificadores de calidad y/o educacionales).</w:t>
            </w:r>
          </w:p>
        </w:tc>
      </w:tr>
      <w:tr w:rsidR="003B7926" w:rsidRPr="00C964A2" w14:paraId="69EE27AD" w14:textId="77777777" w:rsidTr="008933CA">
        <w:trPr>
          <w:trHeight w:val="290"/>
        </w:trPr>
        <w:tc>
          <w:tcPr>
            <w:tcW w:w="3157" w:type="dxa"/>
            <w:noWrap/>
            <w:hideMark/>
          </w:tcPr>
          <w:p w14:paraId="0570AFBA" w14:textId="77777777" w:rsidR="003B7926" w:rsidRPr="00C964A2" w:rsidRDefault="003B7926" w:rsidP="00E63470">
            <w:r w:rsidRPr="00C964A2">
              <w:t>5.2.4 Estudios de Mercado</w:t>
            </w:r>
          </w:p>
        </w:tc>
        <w:tc>
          <w:tcPr>
            <w:tcW w:w="3408" w:type="dxa"/>
          </w:tcPr>
          <w:p w14:paraId="4F12316F" w14:textId="77777777" w:rsidR="003B7926" w:rsidRPr="00C964A2" w:rsidRDefault="0095454A" w:rsidP="00C36195">
            <w:pPr>
              <w:jc w:val="both"/>
            </w:pPr>
            <w:r>
              <w:t>Se abordarán los rubros</w:t>
            </w:r>
            <w:r w:rsidR="00C36195">
              <w:t xml:space="preserve">: turismo, comercio, agrícola </w:t>
            </w:r>
            <w:r>
              <w:t>y forestal.</w:t>
            </w:r>
          </w:p>
        </w:tc>
        <w:tc>
          <w:tcPr>
            <w:tcW w:w="2489" w:type="dxa"/>
            <w:noWrap/>
          </w:tcPr>
          <w:p w14:paraId="07FF5861" w14:textId="77777777" w:rsidR="003B7926" w:rsidRPr="00C964A2" w:rsidRDefault="00C36195" w:rsidP="00E63470">
            <w:r>
              <w:t xml:space="preserve">Se realizará 5 estudios </w:t>
            </w:r>
            <w:commentRangeStart w:id="5"/>
            <w:r>
              <w:t>de</w:t>
            </w:r>
            <w:commentRangeEnd w:id="5"/>
            <w:r w:rsidR="004D45B0">
              <w:rPr>
                <w:rStyle w:val="Refdecomentario"/>
              </w:rPr>
              <w:commentReference w:id="5"/>
            </w:r>
            <w:r>
              <w:t xml:space="preserve"> mercado.</w:t>
            </w:r>
          </w:p>
        </w:tc>
      </w:tr>
    </w:tbl>
    <w:p w14:paraId="7074F8A7" w14:textId="77777777" w:rsidR="008B5658" w:rsidRDefault="008B5658"/>
    <w:p w14:paraId="52741295" w14:textId="77777777" w:rsidR="002C6C08" w:rsidRDefault="002C6C08"/>
    <w:p w14:paraId="49F9B7F8" w14:textId="77777777" w:rsidR="002C6C08" w:rsidRDefault="002C6C08"/>
    <w:tbl>
      <w:tblPr>
        <w:tblStyle w:val="Tablaconcuadrcula"/>
        <w:tblW w:w="0" w:type="auto"/>
        <w:tblLook w:val="04A0" w:firstRow="1" w:lastRow="0" w:firstColumn="1" w:lastColumn="0" w:noHBand="0" w:noVBand="1"/>
      </w:tblPr>
      <w:tblGrid>
        <w:gridCol w:w="3179"/>
        <w:gridCol w:w="3157"/>
        <w:gridCol w:w="2492"/>
      </w:tblGrid>
      <w:tr w:rsidR="00E63470" w:rsidRPr="001852ED" w14:paraId="3938482B" w14:textId="77777777" w:rsidTr="008933CA">
        <w:trPr>
          <w:trHeight w:val="300"/>
        </w:trPr>
        <w:tc>
          <w:tcPr>
            <w:tcW w:w="3179" w:type="dxa"/>
            <w:shd w:val="clear" w:color="auto" w:fill="D9D9D9" w:themeFill="background1" w:themeFillShade="D9"/>
            <w:noWrap/>
            <w:hideMark/>
          </w:tcPr>
          <w:p w14:paraId="0C1376C5" w14:textId="77777777" w:rsidR="00E63470" w:rsidRPr="001852ED" w:rsidRDefault="00E63470" w:rsidP="008933CA">
            <w:pPr>
              <w:rPr>
                <w:b/>
                <w:bCs/>
              </w:rPr>
            </w:pPr>
            <w:r>
              <w:rPr>
                <w:b/>
                <w:bCs/>
              </w:rPr>
              <w:lastRenderedPageBreak/>
              <w:t>6.</w:t>
            </w:r>
            <w:r w:rsidRPr="001852ED">
              <w:rPr>
                <w:b/>
                <w:bCs/>
              </w:rPr>
              <w:t xml:space="preserve"> Perspectiva financiera y grupos de interés ( Relato del proceso)</w:t>
            </w:r>
          </w:p>
        </w:tc>
        <w:tc>
          <w:tcPr>
            <w:tcW w:w="3383" w:type="dxa"/>
            <w:shd w:val="clear" w:color="auto" w:fill="D9D9D9" w:themeFill="background1" w:themeFillShade="D9"/>
          </w:tcPr>
          <w:p w14:paraId="61C01697" w14:textId="77777777" w:rsidR="00E63470" w:rsidRPr="007B6BAA" w:rsidRDefault="00E63470" w:rsidP="0095454A">
            <w:pPr>
              <w:rPr>
                <w:b/>
                <w:bCs/>
              </w:rPr>
            </w:pPr>
            <w:r>
              <w:rPr>
                <w:b/>
                <w:bCs/>
              </w:rPr>
              <w:t xml:space="preserve">Como se realizará en el próximo período </w:t>
            </w:r>
          </w:p>
        </w:tc>
        <w:tc>
          <w:tcPr>
            <w:tcW w:w="2492" w:type="dxa"/>
            <w:shd w:val="clear" w:color="auto" w:fill="D9D9D9" w:themeFill="background1" w:themeFillShade="D9"/>
          </w:tcPr>
          <w:p w14:paraId="212F9372" w14:textId="77777777" w:rsidR="00E63470" w:rsidRPr="007B6BAA" w:rsidRDefault="00E63470" w:rsidP="0095454A">
            <w:pPr>
              <w:rPr>
                <w:b/>
                <w:bCs/>
              </w:rPr>
            </w:pPr>
            <w:r w:rsidRPr="007B6BAA">
              <w:rPr>
                <w:b/>
                <w:bCs/>
              </w:rPr>
              <w:t xml:space="preserve">Compromisos en este ámbito </w:t>
            </w:r>
          </w:p>
        </w:tc>
      </w:tr>
      <w:tr w:rsidR="00C36195" w:rsidRPr="001852ED" w14:paraId="2488B765" w14:textId="77777777" w:rsidTr="00E63470">
        <w:trPr>
          <w:trHeight w:val="600"/>
        </w:trPr>
        <w:tc>
          <w:tcPr>
            <w:tcW w:w="3179" w:type="dxa"/>
            <w:noWrap/>
            <w:hideMark/>
          </w:tcPr>
          <w:p w14:paraId="3F356599" w14:textId="77777777" w:rsidR="00C36195" w:rsidRPr="001852ED" w:rsidRDefault="00C36195" w:rsidP="0095454A">
            <w:r w:rsidRPr="001852ED">
              <w:t>6.</w:t>
            </w:r>
            <w:r>
              <w:t>1</w:t>
            </w:r>
            <w:r w:rsidRPr="001852ED">
              <w:t xml:space="preserve"> Información de Socios estratégicos ( APORTES)</w:t>
            </w:r>
          </w:p>
        </w:tc>
        <w:tc>
          <w:tcPr>
            <w:tcW w:w="3383" w:type="dxa"/>
          </w:tcPr>
          <w:p w14:paraId="7E877F76" w14:textId="77777777" w:rsidR="00C36195" w:rsidRPr="001852ED" w:rsidRDefault="00C36195" w:rsidP="0095454A">
            <w:pPr>
              <w:jc w:val="both"/>
            </w:pPr>
            <w:r>
              <w:t>Gobierno Regional del Maule (Programa de Gestión Territorial para Zonas Rezagadas), Municipalidad de Chanco, Pelluhue y Empedrado, Cooperativa Ahorro Maule, Banco Estado, Cámara de Turismo de Pelluhue y Cámara de Comercio de Cauquenes, entre otros.</w:t>
            </w:r>
          </w:p>
        </w:tc>
        <w:tc>
          <w:tcPr>
            <w:tcW w:w="2492" w:type="dxa"/>
          </w:tcPr>
          <w:p w14:paraId="2F31CCC0" w14:textId="77777777" w:rsidR="00C36195" w:rsidRPr="001852ED" w:rsidRDefault="00C36195" w:rsidP="00B4188A">
            <w:r>
              <w:t>Generación de redes, contactos de potenciales clientes  e infraestructura comprometida para jornadas de capacitación en el territorio atendido por el Centro.</w:t>
            </w:r>
          </w:p>
        </w:tc>
      </w:tr>
      <w:tr w:rsidR="00C36195" w:rsidRPr="001852ED" w14:paraId="6AA0194F" w14:textId="77777777" w:rsidTr="00E63470">
        <w:trPr>
          <w:trHeight w:val="323"/>
        </w:trPr>
        <w:tc>
          <w:tcPr>
            <w:tcW w:w="3179" w:type="dxa"/>
            <w:noWrap/>
            <w:hideMark/>
          </w:tcPr>
          <w:p w14:paraId="2BF068C5" w14:textId="77777777" w:rsidR="00C36195" w:rsidRPr="001852ED" w:rsidRDefault="00C36195" w:rsidP="00E63470">
            <w:r w:rsidRPr="001852ED">
              <w:t>6.</w:t>
            </w:r>
            <w:r>
              <w:t>2</w:t>
            </w:r>
            <w:r w:rsidRPr="001852ED">
              <w:t xml:space="preserve">  Apalancamiento de recursos.</w:t>
            </w:r>
          </w:p>
        </w:tc>
        <w:tc>
          <w:tcPr>
            <w:tcW w:w="3383" w:type="dxa"/>
          </w:tcPr>
          <w:p w14:paraId="40F0278E" w14:textId="77777777" w:rsidR="00C36195" w:rsidRPr="001852ED" w:rsidRDefault="00C36195" w:rsidP="0095454A">
            <w:pPr>
              <w:jc w:val="both"/>
            </w:pPr>
            <w:r>
              <w:t>La universidad aportará recursos en las áreas de recursos humanos, separados en costos de empresa y servicios profesionales de académicos y estudiantes.  Mientras que los socios estratégicos permitirán interactuar con sus redes y aportarán fundamentalmente con la infraestructura para realizar capacitaciones.</w:t>
            </w:r>
          </w:p>
        </w:tc>
        <w:tc>
          <w:tcPr>
            <w:tcW w:w="2492" w:type="dxa"/>
            <w:noWrap/>
          </w:tcPr>
          <w:p w14:paraId="582A5231" w14:textId="77777777" w:rsidR="00C36195" w:rsidRPr="001852ED" w:rsidRDefault="004B0F30" w:rsidP="0095454A">
            <w:r>
              <w:t>La U</w:t>
            </w:r>
            <w:r w:rsidR="00C36195">
              <w:t xml:space="preserve">niversidad se compromete aportar el 15% del total de los recursos </w:t>
            </w:r>
            <w:r>
              <w:t>de operación para el tercer año del Centro</w:t>
            </w:r>
            <w:r w:rsidR="00C36195">
              <w:t>.</w:t>
            </w:r>
          </w:p>
        </w:tc>
      </w:tr>
    </w:tbl>
    <w:p w14:paraId="1AF7E10A" w14:textId="77777777" w:rsidR="008933CA" w:rsidRDefault="008933CA"/>
    <w:tbl>
      <w:tblPr>
        <w:tblStyle w:val="Tablaconcuadrcula"/>
        <w:tblW w:w="0" w:type="auto"/>
        <w:tblLook w:val="04A0" w:firstRow="1" w:lastRow="0" w:firstColumn="1" w:lastColumn="0" w:noHBand="0" w:noVBand="1"/>
      </w:tblPr>
      <w:tblGrid>
        <w:gridCol w:w="3091"/>
        <w:gridCol w:w="12"/>
        <w:gridCol w:w="3299"/>
        <w:gridCol w:w="2426"/>
      </w:tblGrid>
      <w:tr w:rsidR="00E63470" w:rsidRPr="001852ED" w14:paraId="3BEBDAC9" w14:textId="77777777" w:rsidTr="00E63470">
        <w:trPr>
          <w:trHeight w:val="300"/>
        </w:trPr>
        <w:tc>
          <w:tcPr>
            <w:tcW w:w="3179" w:type="dxa"/>
            <w:gridSpan w:val="2"/>
            <w:shd w:val="clear" w:color="auto" w:fill="D9D9D9" w:themeFill="background1" w:themeFillShade="D9"/>
            <w:noWrap/>
            <w:hideMark/>
          </w:tcPr>
          <w:p w14:paraId="32810158" w14:textId="77777777" w:rsidR="00E63470" w:rsidRPr="001852ED" w:rsidRDefault="00E63470" w:rsidP="008933CA">
            <w:pPr>
              <w:rPr>
                <w:b/>
                <w:bCs/>
              </w:rPr>
            </w:pPr>
            <w:r w:rsidRPr="001852ED">
              <w:rPr>
                <w:b/>
                <w:bCs/>
              </w:rPr>
              <w:t>7.Cumplimiento de metas y resultados al cierre del acuerdo Anual.</w:t>
            </w:r>
          </w:p>
        </w:tc>
        <w:tc>
          <w:tcPr>
            <w:tcW w:w="3386" w:type="dxa"/>
            <w:shd w:val="clear" w:color="auto" w:fill="D9D9D9" w:themeFill="background1" w:themeFillShade="D9"/>
          </w:tcPr>
          <w:p w14:paraId="1A1D561A" w14:textId="77777777" w:rsidR="00E63470" w:rsidRPr="007B6BAA" w:rsidRDefault="00E63470" w:rsidP="0095454A">
            <w:pPr>
              <w:rPr>
                <w:b/>
                <w:bCs/>
              </w:rPr>
            </w:pPr>
            <w:r>
              <w:rPr>
                <w:b/>
                <w:bCs/>
              </w:rPr>
              <w:t xml:space="preserve">Como se realizará en el próximo período </w:t>
            </w:r>
          </w:p>
        </w:tc>
        <w:tc>
          <w:tcPr>
            <w:tcW w:w="2489" w:type="dxa"/>
            <w:shd w:val="clear" w:color="auto" w:fill="D9D9D9" w:themeFill="background1" w:themeFillShade="D9"/>
          </w:tcPr>
          <w:p w14:paraId="727CE1B5" w14:textId="77777777" w:rsidR="00E63470" w:rsidRPr="007B6BAA" w:rsidRDefault="00E63470" w:rsidP="0095454A">
            <w:pPr>
              <w:rPr>
                <w:b/>
                <w:bCs/>
              </w:rPr>
            </w:pPr>
            <w:r w:rsidRPr="007B6BAA">
              <w:rPr>
                <w:b/>
                <w:bCs/>
              </w:rPr>
              <w:t xml:space="preserve">Compromisos en este ámbito </w:t>
            </w:r>
          </w:p>
        </w:tc>
      </w:tr>
      <w:tr w:rsidR="00E63470" w:rsidRPr="001852ED" w14:paraId="4A2D8A46" w14:textId="77777777" w:rsidTr="008933CA">
        <w:trPr>
          <w:trHeight w:val="303"/>
        </w:trPr>
        <w:tc>
          <w:tcPr>
            <w:tcW w:w="3173" w:type="dxa"/>
            <w:noWrap/>
            <w:hideMark/>
          </w:tcPr>
          <w:p w14:paraId="62351893" w14:textId="77777777" w:rsidR="00E63470" w:rsidRPr="001852ED" w:rsidRDefault="00E63470" w:rsidP="00E63470">
            <w:r w:rsidRPr="001852ED">
              <w:t>7.2.</w:t>
            </w:r>
            <w:r>
              <w:t>1</w:t>
            </w:r>
            <w:r w:rsidRPr="001852ED">
              <w:t xml:space="preserve"> Metas de Impacto </w:t>
            </w:r>
          </w:p>
        </w:tc>
        <w:tc>
          <w:tcPr>
            <w:tcW w:w="3392" w:type="dxa"/>
            <w:gridSpan w:val="2"/>
            <w:noWrap/>
          </w:tcPr>
          <w:p w14:paraId="29FCAB27" w14:textId="77777777" w:rsidR="0071143D" w:rsidRDefault="0071143D" w:rsidP="0095454A">
            <w:pPr>
              <w:jc w:val="both"/>
              <w:rPr>
                <w:rFonts w:eastAsia="Times New Roman" w:cs="Arial"/>
                <w:sz w:val="20"/>
                <w:szCs w:val="20"/>
                <w:lang w:eastAsia="es-CL"/>
              </w:rPr>
            </w:pPr>
            <w:r>
              <w:t xml:space="preserve">Generación de </w:t>
            </w:r>
            <w:r>
              <w:rPr>
                <w:rFonts w:eastAsia="Times New Roman" w:cs="Arial"/>
                <w:sz w:val="20"/>
                <w:szCs w:val="20"/>
                <w:lang w:eastAsia="es-CL"/>
              </w:rPr>
              <w:t xml:space="preserve">194 nuevos </w:t>
            </w:r>
            <w:commentRangeStart w:id="6"/>
            <w:r>
              <w:rPr>
                <w:rFonts w:eastAsia="Times New Roman" w:cs="Arial"/>
                <w:sz w:val="20"/>
                <w:szCs w:val="20"/>
                <w:lang w:eastAsia="es-CL"/>
              </w:rPr>
              <w:t>clientes</w:t>
            </w:r>
            <w:commentRangeEnd w:id="6"/>
            <w:r w:rsidR="006856A1">
              <w:rPr>
                <w:rStyle w:val="Refdecomentario"/>
              </w:rPr>
              <w:commentReference w:id="6"/>
            </w:r>
            <w:r>
              <w:rPr>
                <w:rFonts w:eastAsia="Times New Roman" w:cs="Arial"/>
                <w:sz w:val="20"/>
                <w:szCs w:val="20"/>
                <w:lang w:eastAsia="es-CL"/>
              </w:rPr>
              <w:t>; 48 empresas con aumento  de ventas; 17 generando nuevos puestos de trabajo; y MM$33 de levantamiento de capital para nuevas inversiones productivas.</w:t>
            </w:r>
          </w:p>
          <w:p w14:paraId="5D3EB249" w14:textId="77777777" w:rsidR="0071143D" w:rsidRPr="0071143D" w:rsidRDefault="0071143D" w:rsidP="0095454A">
            <w:pPr>
              <w:jc w:val="both"/>
              <w:rPr>
                <w:rFonts w:eastAsia="Times New Roman" w:cs="Arial"/>
                <w:sz w:val="20"/>
                <w:szCs w:val="20"/>
                <w:lang w:eastAsia="es-CL"/>
              </w:rPr>
            </w:pPr>
          </w:p>
        </w:tc>
        <w:tc>
          <w:tcPr>
            <w:tcW w:w="2489" w:type="dxa"/>
          </w:tcPr>
          <w:p w14:paraId="494A806C" w14:textId="77777777" w:rsidR="00E63470" w:rsidRPr="001852ED" w:rsidRDefault="0071143D" w:rsidP="0095454A">
            <w:r>
              <w:t>Se compromete con el aumento de impacto económico en un 10% en relación al 2° año.</w:t>
            </w:r>
          </w:p>
        </w:tc>
      </w:tr>
      <w:tr w:rsidR="00E63470" w:rsidRPr="001852ED" w14:paraId="5F95521D" w14:textId="77777777" w:rsidTr="008933CA">
        <w:trPr>
          <w:trHeight w:val="265"/>
        </w:trPr>
        <w:tc>
          <w:tcPr>
            <w:tcW w:w="3173" w:type="dxa"/>
            <w:noWrap/>
            <w:hideMark/>
          </w:tcPr>
          <w:p w14:paraId="501E6D81" w14:textId="77777777" w:rsidR="00E63470" w:rsidRPr="001852ED" w:rsidRDefault="00E63470" w:rsidP="00E63470">
            <w:r w:rsidRPr="001852ED">
              <w:t>7.2.</w:t>
            </w:r>
            <w:r>
              <w:t>2</w:t>
            </w:r>
            <w:r w:rsidRPr="001852ED">
              <w:t xml:space="preserve"> Detección de casos exitosos  </w:t>
            </w:r>
          </w:p>
        </w:tc>
        <w:tc>
          <w:tcPr>
            <w:tcW w:w="3392" w:type="dxa"/>
            <w:gridSpan w:val="2"/>
            <w:noWrap/>
          </w:tcPr>
          <w:p w14:paraId="3A5BD20B" w14:textId="77777777" w:rsidR="00E63470" w:rsidRPr="001852ED" w:rsidRDefault="0071143D" w:rsidP="0095454A">
            <w:pPr>
              <w:jc w:val="both"/>
            </w:pPr>
            <w:r>
              <w:t>Desarrollo de táctica comunicacional que involucre el desarrollo de casos de éxito, acompañado por la difusión de buenas prácticas.</w:t>
            </w:r>
          </w:p>
        </w:tc>
        <w:tc>
          <w:tcPr>
            <w:tcW w:w="2489" w:type="dxa"/>
            <w:noWrap/>
          </w:tcPr>
          <w:p w14:paraId="6F95C437" w14:textId="77777777" w:rsidR="00E63470" w:rsidRPr="001852ED" w:rsidRDefault="00530280" w:rsidP="0095454A">
            <w:r>
              <w:t>4</w:t>
            </w:r>
            <w:r w:rsidR="0071143D">
              <w:t xml:space="preserve"> casos de éxito</w:t>
            </w:r>
            <w:r>
              <w:t xml:space="preserve"> (uno trimestral).</w:t>
            </w:r>
          </w:p>
        </w:tc>
      </w:tr>
      <w:tr w:rsidR="00E63470" w:rsidRPr="001852ED" w14:paraId="7E116E28" w14:textId="77777777" w:rsidTr="008933CA">
        <w:trPr>
          <w:trHeight w:val="568"/>
        </w:trPr>
        <w:tc>
          <w:tcPr>
            <w:tcW w:w="3173" w:type="dxa"/>
            <w:noWrap/>
            <w:hideMark/>
          </w:tcPr>
          <w:p w14:paraId="7E7BFE2B" w14:textId="77777777" w:rsidR="00E63470" w:rsidRPr="001852ED" w:rsidRDefault="00E63470" w:rsidP="00E63470">
            <w:r w:rsidRPr="001852ED">
              <w:t>7.2.</w:t>
            </w:r>
            <w:r>
              <w:t>3</w:t>
            </w:r>
            <w:r w:rsidRPr="001852ED">
              <w:t xml:space="preserve"> Distribución de metas y proceso de control y monitoreo.</w:t>
            </w:r>
          </w:p>
        </w:tc>
        <w:tc>
          <w:tcPr>
            <w:tcW w:w="3392" w:type="dxa"/>
            <w:gridSpan w:val="2"/>
            <w:noWrap/>
          </w:tcPr>
          <w:p w14:paraId="75D2BD71" w14:textId="77777777" w:rsidR="00E63470" w:rsidRPr="001852ED" w:rsidRDefault="003F1D5F" w:rsidP="0095454A">
            <w:pPr>
              <w:jc w:val="both"/>
            </w:pPr>
            <w:r>
              <w:t xml:space="preserve">Asignación relativa de la cartera </w:t>
            </w:r>
            <w:commentRangeStart w:id="7"/>
            <w:r>
              <w:t>de</w:t>
            </w:r>
            <w:commentRangeEnd w:id="7"/>
            <w:r w:rsidR="006856A1">
              <w:rPr>
                <w:rStyle w:val="Refdecomentario"/>
              </w:rPr>
              <w:commentReference w:id="7"/>
            </w:r>
            <w:r>
              <w:t xml:space="preserve"> clientes y metas del centro entre el equipo (Director y asesores). Monitoreo mensual de la evolución de metas y relacionados.</w:t>
            </w:r>
          </w:p>
        </w:tc>
        <w:tc>
          <w:tcPr>
            <w:tcW w:w="2489" w:type="dxa"/>
            <w:noWrap/>
          </w:tcPr>
          <w:p w14:paraId="30BA81C7" w14:textId="77777777" w:rsidR="00E63470" w:rsidRPr="001852ED" w:rsidRDefault="003F1D5F" w:rsidP="0095454A">
            <w:r>
              <w:t>40% de las metas (y cartera de clientes)  por cada asesor y 20% de parte de el director.</w:t>
            </w:r>
          </w:p>
        </w:tc>
      </w:tr>
    </w:tbl>
    <w:p w14:paraId="7DBBDD94" w14:textId="77777777" w:rsidR="008933CA" w:rsidRDefault="008933CA"/>
    <w:p w14:paraId="2B306A15" w14:textId="77777777" w:rsidR="008933CA" w:rsidRPr="00C14A6F" w:rsidRDefault="008933CA"/>
    <w:tbl>
      <w:tblPr>
        <w:tblW w:w="9355" w:type="dxa"/>
        <w:jc w:val="center"/>
        <w:tblCellMar>
          <w:left w:w="70" w:type="dxa"/>
          <w:right w:w="70" w:type="dxa"/>
        </w:tblCellMar>
        <w:tblLook w:val="04A0" w:firstRow="1" w:lastRow="0" w:firstColumn="1" w:lastColumn="0" w:noHBand="0" w:noVBand="1"/>
      </w:tblPr>
      <w:tblGrid>
        <w:gridCol w:w="2161"/>
        <w:gridCol w:w="5426"/>
        <w:gridCol w:w="1768"/>
      </w:tblGrid>
      <w:tr w:rsidR="008933CA" w:rsidRPr="00C14A6F" w14:paraId="0A72C846" w14:textId="77777777" w:rsidTr="0095454A">
        <w:trPr>
          <w:trHeight w:val="447"/>
          <w:jc w:val="center"/>
        </w:trPr>
        <w:tc>
          <w:tcPr>
            <w:tcW w:w="9355" w:type="dxa"/>
            <w:gridSpan w:val="3"/>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7B627015" w14:textId="77777777" w:rsidR="008933CA" w:rsidRPr="008E000D" w:rsidRDefault="008933CA" w:rsidP="008933CA">
            <w:pPr>
              <w:spacing w:after="0" w:line="240" w:lineRule="auto"/>
              <w:jc w:val="both"/>
              <w:rPr>
                <w:rFonts w:eastAsia="Times New Roman" w:cs="Arial"/>
                <w:b/>
                <w:sz w:val="20"/>
                <w:szCs w:val="20"/>
                <w:lang w:eastAsia="es-CL"/>
              </w:rPr>
            </w:pPr>
            <w:r w:rsidRPr="008E000D">
              <w:rPr>
                <w:rFonts w:eastAsia="Times New Roman" w:cs="Arial"/>
                <w:b/>
                <w:sz w:val="20"/>
                <w:szCs w:val="20"/>
                <w:lang w:eastAsia="es-CL"/>
              </w:rPr>
              <w:t xml:space="preserve">9. </w:t>
            </w:r>
            <w:r w:rsidR="008E000D">
              <w:rPr>
                <w:rFonts w:cs="Times New Roman"/>
                <w:b/>
              </w:rPr>
              <w:t>I</w:t>
            </w:r>
            <w:r w:rsidRPr="008E000D">
              <w:rPr>
                <w:rFonts w:cs="Times New Roman"/>
                <w:b/>
              </w:rPr>
              <w:t>ndicadores por los cuales serán evaluados los centros durante el siguiente periodo de acuerdo de desempeño son los siguientes:</w:t>
            </w:r>
          </w:p>
        </w:tc>
      </w:tr>
      <w:tr w:rsidR="00084EA0" w:rsidRPr="00C14A6F" w14:paraId="5023AEF3" w14:textId="77777777" w:rsidTr="00084EA0">
        <w:trPr>
          <w:trHeight w:val="447"/>
          <w:jc w:val="center"/>
        </w:trPr>
        <w:tc>
          <w:tcPr>
            <w:tcW w:w="2161" w:type="dxa"/>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7079D59B" w14:textId="77777777" w:rsidR="00084EA0" w:rsidRPr="00C14A6F" w:rsidRDefault="00084EA0" w:rsidP="0095454A">
            <w:pPr>
              <w:spacing w:after="0" w:line="240" w:lineRule="auto"/>
              <w:jc w:val="center"/>
              <w:rPr>
                <w:rFonts w:eastAsia="Times New Roman" w:cs="Arial"/>
                <w:b/>
                <w:bCs/>
                <w:color w:val="000000"/>
                <w:sz w:val="20"/>
                <w:szCs w:val="20"/>
                <w:lang w:eastAsia="es-CL"/>
              </w:rPr>
            </w:pPr>
            <w:r w:rsidRPr="00C14A6F">
              <w:rPr>
                <w:rFonts w:eastAsia="Times New Roman" w:cs="Arial"/>
                <w:b/>
                <w:bCs/>
                <w:color w:val="000000"/>
                <w:sz w:val="20"/>
                <w:szCs w:val="20"/>
                <w:lang w:eastAsia="es-CL"/>
              </w:rPr>
              <w:t>INDICADOR</w:t>
            </w:r>
          </w:p>
        </w:tc>
        <w:tc>
          <w:tcPr>
            <w:tcW w:w="5426" w:type="dxa"/>
            <w:tcBorders>
              <w:top w:val="single" w:sz="8" w:space="0" w:color="auto"/>
              <w:left w:val="nil"/>
              <w:bottom w:val="single" w:sz="4" w:space="0" w:color="auto"/>
              <w:right w:val="single" w:sz="4" w:space="0" w:color="auto"/>
            </w:tcBorders>
            <w:shd w:val="clear" w:color="auto" w:fill="BFBFBF" w:themeFill="background1" w:themeFillShade="BF"/>
            <w:vAlign w:val="center"/>
          </w:tcPr>
          <w:p w14:paraId="0D0493A6" w14:textId="77777777" w:rsidR="00084EA0" w:rsidRPr="00C14A6F" w:rsidRDefault="00084EA0" w:rsidP="0095454A">
            <w:pPr>
              <w:spacing w:after="0" w:line="240" w:lineRule="auto"/>
              <w:jc w:val="center"/>
              <w:rPr>
                <w:rFonts w:eastAsia="Times New Roman" w:cs="Arial"/>
                <w:b/>
                <w:color w:val="000000"/>
                <w:sz w:val="20"/>
                <w:szCs w:val="20"/>
                <w:lang w:eastAsia="es-CL"/>
              </w:rPr>
            </w:pPr>
            <w:r w:rsidRPr="00C14A6F">
              <w:rPr>
                <w:rFonts w:eastAsia="Times New Roman" w:cs="Arial"/>
                <w:b/>
                <w:color w:val="000000"/>
                <w:sz w:val="20"/>
                <w:szCs w:val="20"/>
                <w:lang w:eastAsia="es-CL"/>
              </w:rPr>
              <w:t>DESCRIPCIÓN</w:t>
            </w:r>
          </w:p>
        </w:tc>
        <w:tc>
          <w:tcPr>
            <w:tcW w:w="1768" w:type="dxa"/>
            <w:tcBorders>
              <w:top w:val="single" w:sz="8" w:space="0" w:color="auto"/>
              <w:left w:val="nil"/>
              <w:bottom w:val="single" w:sz="4" w:space="0" w:color="auto"/>
              <w:right w:val="single" w:sz="4" w:space="0" w:color="auto"/>
            </w:tcBorders>
            <w:shd w:val="clear" w:color="auto" w:fill="BFBFBF" w:themeFill="background1" w:themeFillShade="BF"/>
            <w:vAlign w:val="center"/>
          </w:tcPr>
          <w:p w14:paraId="03A0EFFF" w14:textId="77777777" w:rsidR="00084EA0" w:rsidRPr="00C14A6F" w:rsidRDefault="00084EA0" w:rsidP="0095454A">
            <w:pPr>
              <w:spacing w:after="0" w:line="240" w:lineRule="auto"/>
              <w:jc w:val="center"/>
              <w:rPr>
                <w:rFonts w:eastAsia="Times New Roman" w:cs="Arial"/>
                <w:b/>
                <w:sz w:val="20"/>
                <w:szCs w:val="20"/>
                <w:lang w:eastAsia="es-CL"/>
              </w:rPr>
            </w:pPr>
            <w:r w:rsidRPr="00C14A6F">
              <w:rPr>
                <w:rFonts w:eastAsia="Times New Roman" w:cs="Arial"/>
                <w:b/>
                <w:sz w:val="20"/>
                <w:szCs w:val="20"/>
                <w:lang w:eastAsia="es-CL"/>
              </w:rPr>
              <w:t>META</w:t>
            </w:r>
          </w:p>
        </w:tc>
      </w:tr>
      <w:tr w:rsidR="00084EA0" w:rsidRPr="00C14A6F" w14:paraId="73F95DA1" w14:textId="77777777" w:rsidTr="008933CA">
        <w:trPr>
          <w:trHeight w:val="2400"/>
          <w:jc w:val="center"/>
        </w:trPr>
        <w:tc>
          <w:tcPr>
            <w:tcW w:w="2161"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3FB8BA7" w14:textId="77777777" w:rsidR="00084EA0" w:rsidRPr="004E70DF" w:rsidRDefault="00084EA0" w:rsidP="0095454A">
            <w:pPr>
              <w:spacing w:after="0" w:line="240" w:lineRule="auto"/>
              <w:jc w:val="center"/>
              <w:rPr>
                <w:rFonts w:eastAsia="Times New Roman" w:cs="Arial"/>
                <w:b/>
                <w:bCs/>
                <w:color w:val="000000"/>
                <w:sz w:val="20"/>
                <w:szCs w:val="20"/>
                <w:lang w:eastAsia="es-CL"/>
              </w:rPr>
            </w:pPr>
            <w:r w:rsidRPr="004E70DF">
              <w:rPr>
                <w:rFonts w:eastAsia="Times New Roman" w:cs="Arial"/>
                <w:b/>
                <w:bCs/>
                <w:color w:val="000000"/>
                <w:sz w:val="20"/>
                <w:szCs w:val="20"/>
                <w:lang w:eastAsia="es-CL"/>
              </w:rPr>
              <w:t xml:space="preserve">N° total de clientes </w:t>
            </w:r>
            <w:r w:rsidRPr="00C14A6F">
              <w:rPr>
                <w:rFonts w:eastAsia="Times New Roman" w:cs="Arial"/>
                <w:b/>
                <w:bCs/>
                <w:color w:val="000000"/>
                <w:sz w:val="20"/>
                <w:szCs w:val="20"/>
                <w:lang w:eastAsia="es-CL"/>
              </w:rPr>
              <w:t xml:space="preserve">asesorados </w:t>
            </w:r>
            <w:r w:rsidRPr="004E70DF">
              <w:rPr>
                <w:rFonts w:eastAsia="Times New Roman" w:cs="Arial"/>
                <w:b/>
                <w:bCs/>
                <w:color w:val="000000"/>
                <w:sz w:val="20"/>
                <w:szCs w:val="20"/>
                <w:lang w:eastAsia="es-CL"/>
              </w:rPr>
              <w:t>en periodo de medición.</w:t>
            </w:r>
          </w:p>
        </w:tc>
        <w:tc>
          <w:tcPr>
            <w:tcW w:w="5426" w:type="dxa"/>
            <w:tcBorders>
              <w:top w:val="single" w:sz="8" w:space="0" w:color="auto"/>
              <w:left w:val="nil"/>
              <w:bottom w:val="single" w:sz="4" w:space="0" w:color="auto"/>
              <w:right w:val="single" w:sz="4" w:space="0" w:color="auto"/>
            </w:tcBorders>
            <w:shd w:val="clear" w:color="auto" w:fill="auto"/>
            <w:vAlign w:val="center"/>
            <w:hideMark/>
          </w:tcPr>
          <w:p w14:paraId="6429444E" w14:textId="77777777" w:rsidR="00084EA0" w:rsidRPr="004E70DF" w:rsidRDefault="00084EA0" w:rsidP="0095454A">
            <w:pPr>
              <w:spacing w:after="0" w:line="240" w:lineRule="auto"/>
              <w:jc w:val="center"/>
              <w:rPr>
                <w:rFonts w:eastAsia="Times New Roman" w:cs="Arial"/>
                <w:color w:val="000000"/>
                <w:sz w:val="20"/>
                <w:szCs w:val="20"/>
                <w:lang w:eastAsia="es-CL"/>
              </w:rPr>
            </w:pPr>
            <w:r w:rsidRPr="004E70DF">
              <w:rPr>
                <w:rFonts w:eastAsia="Times New Roman" w:cs="Arial"/>
                <w:color w:val="000000"/>
                <w:sz w:val="20"/>
                <w:szCs w:val="20"/>
                <w:lang w:eastAsia="es-CL"/>
              </w:rPr>
              <w:t xml:space="preserve">Se contabiliza como asesorados aquellos clientes que hayan asistido a la reunión inicial durante el periodo de medición.  </w:t>
            </w:r>
            <w:r w:rsidRPr="004E70DF">
              <w:rPr>
                <w:rFonts w:eastAsia="Times New Roman" w:cs="Arial"/>
                <w:color w:val="000000"/>
                <w:sz w:val="20"/>
                <w:szCs w:val="20"/>
                <w:lang w:eastAsia="es-CL"/>
              </w:rPr>
              <w:br/>
              <w:t>Se considera el periodo de medición aquel establecido en el Acuerdo de Desempeño.</w:t>
            </w:r>
            <w:r w:rsidRPr="004E70DF">
              <w:rPr>
                <w:rFonts w:eastAsia="Times New Roman" w:cs="Arial"/>
                <w:color w:val="000000"/>
                <w:sz w:val="20"/>
                <w:szCs w:val="20"/>
                <w:lang w:eastAsia="es-CL"/>
              </w:rPr>
              <w:br/>
              <w:t xml:space="preserve">Nota: este indicador considera los clientes asesorados </w:t>
            </w:r>
            <w:r w:rsidR="0092589E">
              <w:rPr>
                <w:rFonts w:eastAsia="Times New Roman" w:cs="Arial"/>
                <w:color w:val="000000"/>
                <w:sz w:val="20"/>
                <w:szCs w:val="20"/>
                <w:lang w:eastAsia="es-CL"/>
              </w:rPr>
              <w:t xml:space="preserve">en el Centro </w:t>
            </w:r>
            <w:r w:rsidRPr="004E70DF">
              <w:rPr>
                <w:rFonts w:eastAsia="Times New Roman" w:cs="Arial"/>
                <w:color w:val="000000"/>
                <w:sz w:val="20"/>
                <w:szCs w:val="20"/>
                <w:lang w:eastAsia="es-CL"/>
              </w:rPr>
              <w:t xml:space="preserve">por el director y los respectivos asesores junior y </w:t>
            </w:r>
            <w:r w:rsidR="008933CA" w:rsidRPr="004E70DF">
              <w:rPr>
                <w:rFonts w:eastAsia="Times New Roman" w:cs="Arial"/>
                <w:color w:val="000000"/>
                <w:sz w:val="20"/>
                <w:szCs w:val="20"/>
                <w:lang w:eastAsia="es-CL"/>
              </w:rPr>
              <w:t>sénior</w:t>
            </w:r>
            <w:r w:rsidRPr="004E70DF">
              <w:rPr>
                <w:rFonts w:eastAsia="Times New Roman" w:cs="Arial"/>
                <w:color w:val="000000"/>
                <w:sz w:val="20"/>
                <w:szCs w:val="20"/>
                <w:lang w:eastAsia="es-CL"/>
              </w:rPr>
              <w:t>.</w:t>
            </w:r>
            <w:r w:rsidRPr="004E70DF">
              <w:rPr>
                <w:rFonts w:eastAsia="Times New Roman" w:cs="Arial"/>
                <w:color w:val="000000"/>
                <w:sz w:val="20"/>
                <w:szCs w:val="20"/>
                <w:lang w:eastAsia="es-CL"/>
              </w:rPr>
              <w:br/>
              <w:t>Se mide considerando el registro de la sesión inicial en Neoserra, como cliente único.</w:t>
            </w:r>
          </w:p>
        </w:tc>
        <w:tc>
          <w:tcPr>
            <w:tcW w:w="1768" w:type="dxa"/>
            <w:tcBorders>
              <w:top w:val="single" w:sz="8" w:space="0" w:color="auto"/>
              <w:left w:val="nil"/>
              <w:bottom w:val="single" w:sz="4" w:space="0" w:color="auto"/>
              <w:right w:val="single" w:sz="4" w:space="0" w:color="auto"/>
            </w:tcBorders>
            <w:shd w:val="clear" w:color="auto" w:fill="auto"/>
            <w:vAlign w:val="center"/>
            <w:hideMark/>
          </w:tcPr>
          <w:p w14:paraId="1E2E5ED9" w14:textId="77777777" w:rsidR="00084EA0" w:rsidRPr="004E70DF" w:rsidRDefault="0047378F" w:rsidP="0095454A">
            <w:pPr>
              <w:spacing w:after="0" w:line="240" w:lineRule="auto"/>
              <w:jc w:val="center"/>
              <w:rPr>
                <w:rFonts w:eastAsia="Times New Roman" w:cs="Arial"/>
                <w:sz w:val="20"/>
                <w:szCs w:val="20"/>
                <w:lang w:eastAsia="es-CL"/>
              </w:rPr>
            </w:pPr>
            <w:commentRangeStart w:id="8"/>
            <w:r>
              <w:rPr>
                <w:rFonts w:eastAsia="Times New Roman" w:cs="Arial"/>
                <w:sz w:val="20"/>
                <w:szCs w:val="20"/>
                <w:lang w:eastAsia="es-CL"/>
              </w:rPr>
              <w:t>194</w:t>
            </w:r>
            <w:commentRangeEnd w:id="8"/>
            <w:r w:rsidR="006856A1">
              <w:rPr>
                <w:rStyle w:val="Refdecomentario"/>
              </w:rPr>
              <w:commentReference w:id="8"/>
            </w:r>
          </w:p>
        </w:tc>
      </w:tr>
      <w:tr w:rsidR="00084EA0" w:rsidRPr="00C14A6F" w14:paraId="2FDAEDC4" w14:textId="77777777" w:rsidTr="008933CA">
        <w:trPr>
          <w:trHeight w:val="2400"/>
          <w:jc w:val="center"/>
        </w:trPr>
        <w:tc>
          <w:tcPr>
            <w:tcW w:w="2161" w:type="dxa"/>
            <w:tcBorders>
              <w:top w:val="single" w:sz="8" w:space="0" w:color="auto"/>
              <w:left w:val="single" w:sz="4" w:space="0" w:color="auto"/>
              <w:bottom w:val="single" w:sz="4" w:space="0" w:color="auto"/>
              <w:right w:val="single" w:sz="4" w:space="0" w:color="auto"/>
            </w:tcBorders>
            <w:shd w:val="clear" w:color="auto" w:fill="auto"/>
            <w:vAlign w:val="center"/>
          </w:tcPr>
          <w:p w14:paraId="4089EF89" w14:textId="77777777" w:rsidR="00084EA0" w:rsidRPr="004E70DF" w:rsidRDefault="00084EA0" w:rsidP="0095454A">
            <w:pPr>
              <w:spacing w:after="0" w:line="240" w:lineRule="auto"/>
              <w:jc w:val="center"/>
              <w:rPr>
                <w:rFonts w:eastAsia="Times New Roman" w:cs="Arial"/>
                <w:b/>
                <w:bCs/>
                <w:color w:val="000000"/>
                <w:sz w:val="20"/>
                <w:szCs w:val="20"/>
                <w:lang w:eastAsia="es-CL"/>
              </w:rPr>
            </w:pPr>
            <w:r w:rsidRPr="004E70DF">
              <w:rPr>
                <w:rFonts w:eastAsia="Times New Roman" w:cs="Arial"/>
                <w:b/>
                <w:bCs/>
                <w:color w:val="000000"/>
                <w:sz w:val="20"/>
                <w:szCs w:val="20"/>
                <w:lang w:eastAsia="es-CL"/>
              </w:rPr>
              <w:t>N° de empresas con aumento de ventas en el periodo de medición</w:t>
            </w:r>
          </w:p>
        </w:tc>
        <w:tc>
          <w:tcPr>
            <w:tcW w:w="5426" w:type="dxa"/>
            <w:tcBorders>
              <w:top w:val="single" w:sz="8" w:space="0" w:color="auto"/>
              <w:left w:val="nil"/>
              <w:bottom w:val="single" w:sz="4" w:space="0" w:color="auto"/>
              <w:right w:val="single" w:sz="4" w:space="0" w:color="auto"/>
            </w:tcBorders>
            <w:shd w:val="clear" w:color="auto" w:fill="auto"/>
            <w:vAlign w:val="center"/>
          </w:tcPr>
          <w:p w14:paraId="06B732F7" w14:textId="77777777" w:rsidR="00084EA0" w:rsidRPr="004E70DF" w:rsidRDefault="00084EA0" w:rsidP="0095454A">
            <w:pPr>
              <w:spacing w:after="0" w:line="240" w:lineRule="auto"/>
              <w:jc w:val="center"/>
              <w:rPr>
                <w:rFonts w:eastAsia="Times New Roman" w:cs="Arial"/>
                <w:color w:val="000000"/>
                <w:sz w:val="20"/>
                <w:szCs w:val="20"/>
                <w:lang w:eastAsia="es-CL"/>
              </w:rPr>
            </w:pPr>
            <w:r w:rsidRPr="004E70DF">
              <w:rPr>
                <w:rFonts w:eastAsia="Times New Roman" w:cs="Arial"/>
                <w:color w:val="000000"/>
                <w:sz w:val="20"/>
                <w:szCs w:val="20"/>
                <w:lang w:eastAsia="es-CL"/>
              </w:rPr>
              <w:t>Se mide a partir de la información entregada por el cliente en la reunión inicial (hito 1) y la declaración de ventas entregada por el cliente en la encuesta de impacto económico una vez finalizada la implementación de un plan de trabajo (hito 2). Es decir, es el cliente quien reconoce el impacto de la asesoría en sus ventas, respaldado además con algunos medios de verificación.</w:t>
            </w:r>
            <w:r w:rsidRPr="004E70DF">
              <w:rPr>
                <w:rFonts w:eastAsia="Times New Roman" w:cs="Arial"/>
                <w:color w:val="000000"/>
                <w:sz w:val="20"/>
                <w:szCs w:val="20"/>
                <w:lang w:eastAsia="es-CL"/>
              </w:rPr>
              <w:br/>
              <w:t>Adicionalmente, y para seguimiento interno del CDN, el asesor del Centro podrá medir el aumento de ventas durante el periodo de asesoramiento y así maximizar la captura del impacto económico para el Centro.</w:t>
            </w:r>
            <w:r w:rsidRPr="004E70DF">
              <w:rPr>
                <w:rFonts w:eastAsia="Times New Roman" w:cs="Arial"/>
                <w:color w:val="000000"/>
                <w:sz w:val="20"/>
                <w:szCs w:val="20"/>
                <w:lang w:eastAsia="es-CL"/>
              </w:rPr>
              <w:br/>
              <w:t>Para lo anteriormente descrito, se explicitan 3 fórmulas de cálculo de impacto en ventas:</w:t>
            </w:r>
            <w:r w:rsidRPr="004E70DF">
              <w:rPr>
                <w:rFonts w:eastAsia="Times New Roman" w:cs="Arial"/>
                <w:color w:val="000000"/>
                <w:sz w:val="20"/>
                <w:szCs w:val="20"/>
                <w:lang w:eastAsia="es-CL"/>
              </w:rPr>
              <w:br/>
              <w:t>1.  Venta por mismo periodo año anterior y periodo actual.</w:t>
            </w:r>
            <w:r w:rsidRPr="004E70DF">
              <w:rPr>
                <w:rFonts w:eastAsia="Times New Roman" w:cs="Arial"/>
                <w:color w:val="000000"/>
                <w:sz w:val="20"/>
                <w:szCs w:val="20"/>
                <w:lang w:eastAsia="es-CL"/>
              </w:rPr>
              <w:br/>
              <w:t>2. Ventas antes y después de asesoría.</w:t>
            </w:r>
            <w:r w:rsidRPr="004E70DF">
              <w:rPr>
                <w:rFonts w:eastAsia="Times New Roman" w:cs="Arial"/>
                <w:color w:val="000000"/>
                <w:sz w:val="20"/>
                <w:szCs w:val="20"/>
                <w:lang w:eastAsia="es-CL"/>
              </w:rPr>
              <w:br/>
              <w:t>3. Venta promedio año anterior y venta promedio año actual.</w:t>
            </w:r>
            <w:r w:rsidRPr="004E70DF">
              <w:rPr>
                <w:rFonts w:eastAsia="Times New Roman" w:cs="Arial"/>
                <w:color w:val="000000"/>
                <w:sz w:val="20"/>
                <w:szCs w:val="20"/>
                <w:lang w:eastAsia="es-CL"/>
              </w:rPr>
              <w:br/>
              <w:t>Se considera el periodo de medición aquel establecido en el Acuerdo de Desempeño.</w:t>
            </w:r>
          </w:p>
        </w:tc>
        <w:tc>
          <w:tcPr>
            <w:tcW w:w="1768" w:type="dxa"/>
            <w:tcBorders>
              <w:top w:val="single" w:sz="8" w:space="0" w:color="auto"/>
              <w:left w:val="nil"/>
              <w:bottom w:val="single" w:sz="4" w:space="0" w:color="auto"/>
              <w:right w:val="single" w:sz="4" w:space="0" w:color="auto"/>
            </w:tcBorders>
            <w:shd w:val="clear" w:color="auto" w:fill="auto"/>
            <w:vAlign w:val="center"/>
          </w:tcPr>
          <w:p w14:paraId="3D2AD930" w14:textId="77777777" w:rsidR="00084EA0" w:rsidRPr="004E70DF" w:rsidRDefault="0047378F" w:rsidP="0095454A">
            <w:pPr>
              <w:spacing w:after="0" w:line="240" w:lineRule="auto"/>
              <w:jc w:val="center"/>
              <w:rPr>
                <w:rFonts w:eastAsia="Times New Roman" w:cs="Arial"/>
                <w:sz w:val="20"/>
                <w:szCs w:val="20"/>
                <w:lang w:eastAsia="es-CL"/>
              </w:rPr>
            </w:pPr>
            <w:commentRangeStart w:id="9"/>
            <w:r>
              <w:rPr>
                <w:rFonts w:eastAsia="Times New Roman" w:cs="Arial"/>
                <w:sz w:val="20"/>
                <w:szCs w:val="20"/>
                <w:lang w:eastAsia="es-CL"/>
              </w:rPr>
              <w:t>48</w:t>
            </w:r>
            <w:commentRangeEnd w:id="9"/>
            <w:r w:rsidR="006856A1">
              <w:rPr>
                <w:rStyle w:val="Refdecomentario"/>
              </w:rPr>
              <w:commentReference w:id="9"/>
            </w:r>
          </w:p>
        </w:tc>
      </w:tr>
      <w:tr w:rsidR="00084EA0" w:rsidRPr="00C14A6F" w14:paraId="3FBC47F4" w14:textId="77777777" w:rsidTr="008933CA">
        <w:trPr>
          <w:trHeight w:val="2400"/>
          <w:jc w:val="center"/>
        </w:trPr>
        <w:tc>
          <w:tcPr>
            <w:tcW w:w="2161" w:type="dxa"/>
            <w:tcBorders>
              <w:top w:val="single" w:sz="8" w:space="0" w:color="auto"/>
              <w:left w:val="single" w:sz="4" w:space="0" w:color="auto"/>
              <w:bottom w:val="single" w:sz="4" w:space="0" w:color="auto"/>
              <w:right w:val="single" w:sz="4" w:space="0" w:color="auto"/>
            </w:tcBorders>
            <w:shd w:val="clear" w:color="auto" w:fill="auto"/>
            <w:vAlign w:val="center"/>
          </w:tcPr>
          <w:p w14:paraId="7CE03E2F" w14:textId="77777777" w:rsidR="00084EA0" w:rsidRPr="004E70DF" w:rsidRDefault="00084EA0" w:rsidP="0095454A">
            <w:pPr>
              <w:spacing w:after="0" w:line="240" w:lineRule="auto"/>
              <w:jc w:val="center"/>
              <w:rPr>
                <w:rFonts w:eastAsia="Times New Roman" w:cs="Arial"/>
                <w:b/>
                <w:bCs/>
                <w:color w:val="000000"/>
                <w:sz w:val="20"/>
                <w:szCs w:val="20"/>
                <w:lang w:eastAsia="es-CL"/>
              </w:rPr>
            </w:pPr>
            <w:r w:rsidRPr="004E70DF">
              <w:rPr>
                <w:rFonts w:eastAsia="Times New Roman" w:cs="Arial"/>
                <w:b/>
                <w:bCs/>
                <w:color w:val="000000"/>
                <w:sz w:val="20"/>
                <w:szCs w:val="20"/>
                <w:lang w:eastAsia="es-CL"/>
              </w:rPr>
              <w:t>N° de nuevos empleos formales generados</w:t>
            </w:r>
          </w:p>
        </w:tc>
        <w:tc>
          <w:tcPr>
            <w:tcW w:w="5426" w:type="dxa"/>
            <w:tcBorders>
              <w:top w:val="single" w:sz="8" w:space="0" w:color="auto"/>
              <w:left w:val="nil"/>
              <w:bottom w:val="single" w:sz="4" w:space="0" w:color="auto"/>
              <w:right w:val="single" w:sz="4" w:space="0" w:color="auto"/>
            </w:tcBorders>
            <w:shd w:val="clear" w:color="auto" w:fill="auto"/>
            <w:vAlign w:val="center"/>
          </w:tcPr>
          <w:p w14:paraId="41BE83F1" w14:textId="77777777" w:rsidR="00084EA0" w:rsidRPr="004E70DF" w:rsidRDefault="00084EA0" w:rsidP="0095454A">
            <w:pPr>
              <w:spacing w:after="0" w:line="240" w:lineRule="auto"/>
              <w:jc w:val="center"/>
              <w:rPr>
                <w:rFonts w:eastAsia="Times New Roman" w:cs="Arial"/>
                <w:color w:val="000000"/>
                <w:sz w:val="20"/>
                <w:szCs w:val="20"/>
                <w:lang w:eastAsia="es-CL"/>
              </w:rPr>
            </w:pPr>
            <w:r w:rsidRPr="004E70DF">
              <w:rPr>
                <w:rFonts w:eastAsia="Times New Roman" w:cs="Arial"/>
                <w:color w:val="000000"/>
                <w:sz w:val="20"/>
                <w:szCs w:val="20"/>
                <w:lang w:eastAsia="es-CL"/>
              </w:rPr>
              <w:t>Mide el número de empleos generados,  ya sea indefinido, plazo fijo, honorarios, part time, tiempo completo, temporal, autoempleo,  etc.</w:t>
            </w:r>
            <w:r w:rsidRPr="004E70DF">
              <w:rPr>
                <w:rFonts w:eastAsia="Times New Roman" w:cs="Arial"/>
                <w:color w:val="000000"/>
                <w:sz w:val="20"/>
                <w:szCs w:val="20"/>
                <w:lang w:eastAsia="es-CL"/>
              </w:rPr>
              <w:br/>
              <w:t>Se mide a partir de la información entregada por el cliente  en la reunión inicial (hito 1) y la encuesta de impacto económico aplicada una vez finalizada la implementación del Plan de Trabajo (hito 2). Es decir, es el cliente quien reconoce el impacto de la asesoría en la contratación de nuevos trabajadores, considerando además algunos medios de verificación pertinentes.</w:t>
            </w:r>
            <w:r w:rsidRPr="004E70DF">
              <w:rPr>
                <w:rFonts w:eastAsia="Times New Roman" w:cs="Arial"/>
                <w:color w:val="000000"/>
                <w:sz w:val="20"/>
                <w:szCs w:val="20"/>
                <w:lang w:eastAsia="es-CL"/>
              </w:rPr>
              <w:br/>
              <w:t>Se considera el periodo de medición aquel establecido en el Acuerdo de Desempeño.</w:t>
            </w:r>
          </w:p>
        </w:tc>
        <w:tc>
          <w:tcPr>
            <w:tcW w:w="1768" w:type="dxa"/>
            <w:tcBorders>
              <w:top w:val="single" w:sz="8" w:space="0" w:color="auto"/>
              <w:left w:val="nil"/>
              <w:bottom w:val="single" w:sz="4" w:space="0" w:color="auto"/>
              <w:right w:val="single" w:sz="4" w:space="0" w:color="auto"/>
            </w:tcBorders>
            <w:shd w:val="clear" w:color="auto" w:fill="auto"/>
            <w:vAlign w:val="center"/>
          </w:tcPr>
          <w:p w14:paraId="44D8798F" w14:textId="77777777" w:rsidR="00084EA0" w:rsidRPr="004E70DF" w:rsidRDefault="0047378F" w:rsidP="0095454A">
            <w:pPr>
              <w:spacing w:after="0" w:line="240" w:lineRule="auto"/>
              <w:jc w:val="center"/>
              <w:rPr>
                <w:rFonts w:eastAsia="Times New Roman" w:cs="Arial"/>
                <w:sz w:val="20"/>
                <w:szCs w:val="20"/>
                <w:lang w:eastAsia="es-CL"/>
              </w:rPr>
            </w:pPr>
            <w:commentRangeStart w:id="10"/>
            <w:r>
              <w:rPr>
                <w:rFonts w:eastAsia="Times New Roman" w:cs="Arial"/>
                <w:sz w:val="20"/>
                <w:szCs w:val="20"/>
                <w:lang w:eastAsia="es-CL"/>
              </w:rPr>
              <w:t>17</w:t>
            </w:r>
            <w:commentRangeEnd w:id="10"/>
            <w:r w:rsidR="006856A1">
              <w:rPr>
                <w:rStyle w:val="Refdecomentario"/>
              </w:rPr>
              <w:commentReference w:id="10"/>
            </w:r>
          </w:p>
        </w:tc>
      </w:tr>
      <w:tr w:rsidR="00084EA0" w:rsidRPr="00C14A6F" w14:paraId="069EEEFD" w14:textId="77777777" w:rsidTr="008933CA">
        <w:trPr>
          <w:trHeight w:val="2400"/>
          <w:jc w:val="center"/>
        </w:trPr>
        <w:tc>
          <w:tcPr>
            <w:tcW w:w="2161" w:type="dxa"/>
            <w:tcBorders>
              <w:top w:val="single" w:sz="8" w:space="0" w:color="auto"/>
              <w:left w:val="single" w:sz="4" w:space="0" w:color="auto"/>
              <w:bottom w:val="single" w:sz="4" w:space="0" w:color="auto"/>
              <w:right w:val="single" w:sz="4" w:space="0" w:color="auto"/>
            </w:tcBorders>
            <w:shd w:val="clear" w:color="auto" w:fill="auto"/>
            <w:vAlign w:val="center"/>
          </w:tcPr>
          <w:p w14:paraId="35212FC9" w14:textId="77777777" w:rsidR="00084EA0" w:rsidRPr="004E70DF" w:rsidRDefault="0092589E" w:rsidP="0095454A">
            <w:pPr>
              <w:spacing w:after="0" w:line="240" w:lineRule="auto"/>
              <w:jc w:val="center"/>
              <w:rPr>
                <w:rFonts w:eastAsia="Times New Roman" w:cs="Arial"/>
                <w:b/>
                <w:bCs/>
                <w:color w:val="000000"/>
                <w:sz w:val="20"/>
                <w:szCs w:val="20"/>
                <w:lang w:eastAsia="es-CL"/>
              </w:rPr>
            </w:pPr>
            <w:r>
              <w:rPr>
                <w:rFonts w:eastAsia="Times New Roman" w:cs="Arial"/>
                <w:b/>
                <w:bCs/>
                <w:color w:val="000000"/>
                <w:sz w:val="20"/>
                <w:szCs w:val="20"/>
                <w:lang w:eastAsia="es-CL"/>
              </w:rPr>
              <w:t>Inversiones realizadas</w:t>
            </w:r>
          </w:p>
        </w:tc>
        <w:tc>
          <w:tcPr>
            <w:tcW w:w="5426" w:type="dxa"/>
            <w:tcBorders>
              <w:top w:val="single" w:sz="8" w:space="0" w:color="auto"/>
              <w:left w:val="nil"/>
              <w:bottom w:val="single" w:sz="4" w:space="0" w:color="auto"/>
              <w:right w:val="single" w:sz="4" w:space="0" w:color="auto"/>
            </w:tcBorders>
            <w:shd w:val="clear" w:color="auto" w:fill="auto"/>
            <w:vAlign w:val="center"/>
          </w:tcPr>
          <w:p w14:paraId="55330B2F" w14:textId="77777777" w:rsidR="00084EA0" w:rsidRDefault="0092589E" w:rsidP="0092589E">
            <w:pPr>
              <w:spacing w:after="0" w:line="240" w:lineRule="auto"/>
              <w:jc w:val="center"/>
              <w:rPr>
                <w:rFonts w:eastAsia="Times New Roman" w:cs="Arial"/>
                <w:color w:val="000000"/>
                <w:sz w:val="20"/>
                <w:szCs w:val="20"/>
                <w:lang w:eastAsia="es-CL"/>
              </w:rPr>
            </w:pPr>
            <w:r>
              <w:rPr>
                <w:rFonts w:eastAsia="Times New Roman" w:cs="Arial"/>
                <w:color w:val="000000"/>
                <w:sz w:val="20"/>
                <w:szCs w:val="20"/>
                <w:lang w:eastAsia="es-CL"/>
              </w:rPr>
              <w:t xml:space="preserve">Mide los recursos levantados por la empresa para realizar Inversiones durante el proceso de atención y/o como resultado de la asesoría </w:t>
            </w:r>
          </w:p>
          <w:p w14:paraId="2240E9C3" w14:textId="77777777" w:rsidR="0092589E" w:rsidRDefault="0092589E" w:rsidP="0092589E">
            <w:pPr>
              <w:spacing w:after="0" w:line="240" w:lineRule="auto"/>
              <w:jc w:val="center"/>
              <w:rPr>
                <w:rFonts w:eastAsia="Times New Roman" w:cs="Arial"/>
                <w:color w:val="000000"/>
                <w:sz w:val="20"/>
                <w:szCs w:val="20"/>
                <w:lang w:eastAsia="es-CL"/>
              </w:rPr>
            </w:pPr>
          </w:p>
          <w:p w14:paraId="2F548F98" w14:textId="77777777" w:rsidR="0092589E" w:rsidRPr="004E70DF" w:rsidRDefault="0092589E" w:rsidP="0092589E">
            <w:pPr>
              <w:spacing w:after="0" w:line="240" w:lineRule="auto"/>
              <w:jc w:val="center"/>
              <w:rPr>
                <w:rFonts w:eastAsia="Times New Roman" w:cs="Arial"/>
                <w:color w:val="000000"/>
                <w:sz w:val="20"/>
                <w:szCs w:val="20"/>
                <w:lang w:eastAsia="es-CL"/>
              </w:rPr>
            </w:pPr>
            <w:r w:rsidRPr="004E70DF">
              <w:rPr>
                <w:rFonts w:eastAsia="Times New Roman" w:cs="Arial"/>
                <w:color w:val="000000"/>
                <w:sz w:val="20"/>
                <w:szCs w:val="20"/>
                <w:lang w:eastAsia="es-CL"/>
              </w:rPr>
              <w:t xml:space="preserve">Se mide a partir de la información entregada por el cliente  en la reunión inicial (hito 1) y la encuesta de impacto económico aplicada una vez finalizada la implementación del Plan de Trabajo (hito 2). Es decir, es el cliente quien </w:t>
            </w:r>
            <w:r>
              <w:rPr>
                <w:rFonts w:eastAsia="Times New Roman" w:cs="Arial"/>
                <w:color w:val="000000"/>
                <w:sz w:val="20"/>
                <w:szCs w:val="20"/>
                <w:lang w:eastAsia="es-CL"/>
              </w:rPr>
              <w:t>declara</w:t>
            </w:r>
            <w:r w:rsidRPr="004E70DF">
              <w:rPr>
                <w:rFonts w:eastAsia="Times New Roman" w:cs="Arial"/>
                <w:color w:val="000000"/>
                <w:sz w:val="20"/>
                <w:szCs w:val="20"/>
                <w:lang w:eastAsia="es-CL"/>
              </w:rPr>
              <w:t xml:space="preserve"> el impacto de la asesoría </w:t>
            </w:r>
            <w:r>
              <w:rPr>
                <w:rFonts w:eastAsia="Times New Roman" w:cs="Arial"/>
                <w:color w:val="000000"/>
                <w:sz w:val="20"/>
                <w:szCs w:val="20"/>
                <w:lang w:eastAsia="es-CL"/>
              </w:rPr>
              <w:t>para levantar Inversiones</w:t>
            </w:r>
            <w:r w:rsidRPr="004E70DF">
              <w:rPr>
                <w:rFonts w:eastAsia="Times New Roman" w:cs="Arial"/>
                <w:color w:val="000000"/>
                <w:sz w:val="20"/>
                <w:szCs w:val="20"/>
                <w:lang w:eastAsia="es-CL"/>
              </w:rPr>
              <w:t xml:space="preserve"> considerando además algunos medios de verificación pertinentes.</w:t>
            </w:r>
            <w:r w:rsidRPr="004E70DF">
              <w:rPr>
                <w:rFonts w:eastAsia="Times New Roman" w:cs="Arial"/>
                <w:color w:val="000000"/>
                <w:sz w:val="20"/>
                <w:szCs w:val="20"/>
                <w:lang w:eastAsia="es-CL"/>
              </w:rPr>
              <w:br/>
              <w:t>Se considera el periodo de medición aquel establecido en el Acuerdo de Desempeño.</w:t>
            </w:r>
          </w:p>
        </w:tc>
        <w:tc>
          <w:tcPr>
            <w:tcW w:w="1768" w:type="dxa"/>
            <w:tcBorders>
              <w:top w:val="single" w:sz="8" w:space="0" w:color="auto"/>
              <w:left w:val="nil"/>
              <w:bottom w:val="single" w:sz="4" w:space="0" w:color="auto"/>
              <w:right w:val="single" w:sz="4" w:space="0" w:color="auto"/>
            </w:tcBorders>
            <w:shd w:val="clear" w:color="auto" w:fill="auto"/>
            <w:vAlign w:val="center"/>
          </w:tcPr>
          <w:p w14:paraId="5A158512" w14:textId="77777777" w:rsidR="00084EA0" w:rsidRPr="004E70DF" w:rsidRDefault="0047378F" w:rsidP="0095454A">
            <w:pPr>
              <w:spacing w:after="0" w:line="240" w:lineRule="auto"/>
              <w:jc w:val="center"/>
              <w:rPr>
                <w:rFonts w:eastAsia="Times New Roman" w:cs="Arial"/>
                <w:sz w:val="20"/>
                <w:szCs w:val="20"/>
                <w:lang w:eastAsia="es-CL"/>
              </w:rPr>
            </w:pPr>
            <w:r>
              <w:rPr>
                <w:rFonts w:eastAsia="Times New Roman" w:cs="Arial"/>
                <w:sz w:val="20"/>
                <w:szCs w:val="20"/>
                <w:lang w:eastAsia="es-CL"/>
              </w:rPr>
              <w:t>33.000.</w:t>
            </w:r>
            <w:commentRangeStart w:id="11"/>
            <w:r>
              <w:rPr>
                <w:rFonts w:eastAsia="Times New Roman" w:cs="Arial"/>
                <w:sz w:val="20"/>
                <w:szCs w:val="20"/>
                <w:lang w:eastAsia="es-CL"/>
              </w:rPr>
              <w:t>000</w:t>
            </w:r>
            <w:commentRangeEnd w:id="11"/>
            <w:r w:rsidR="006856A1">
              <w:rPr>
                <w:rStyle w:val="Refdecomentario"/>
              </w:rPr>
              <w:commentReference w:id="11"/>
            </w:r>
          </w:p>
        </w:tc>
      </w:tr>
    </w:tbl>
    <w:p w14:paraId="1A432585" w14:textId="77777777" w:rsidR="004E70DF" w:rsidRDefault="004E70DF" w:rsidP="004E70DF">
      <w:pPr>
        <w:pStyle w:val="SBDCManualBody"/>
        <w:rPr>
          <w:rFonts w:asciiTheme="minorHAnsi" w:hAnsiTheme="minorHAnsi" w:cs="Times New Roman"/>
          <w:sz w:val="22"/>
          <w:lang w:val="es-CL"/>
        </w:rPr>
      </w:pPr>
    </w:p>
    <w:p w14:paraId="1D032F58" w14:textId="77777777" w:rsidR="008933CA" w:rsidRDefault="008933CA" w:rsidP="004E70DF">
      <w:pPr>
        <w:pStyle w:val="SBDCManualBody"/>
        <w:rPr>
          <w:rFonts w:asciiTheme="minorHAnsi" w:hAnsiTheme="minorHAnsi" w:cs="Times New Roman"/>
          <w:sz w:val="22"/>
          <w:lang w:val="es-CL"/>
        </w:rPr>
      </w:pPr>
    </w:p>
    <w:p w14:paraId="1E3BF626" w14:textId="77777777" w:rsidR="008933CA" w:rsidRDefault="008933CA" w:rsidP="004E70DF">
      <w:pPr>
        <w:pStyle w:val="SBDCManualBody"/>
        <w:rPr>
          <w:rFonts w:asciiTheme="minorHAnsi" w:hAnsiTheme="minorHAnsi" w:cs="Times New Roman"/>
          <w:sz w:val="22"/>
          <w:lang w:val="es-CL"/>
        </w:rPr>
      </w:pPr>
    </w:p>
    <w:p w14:paraId="7D5EC59A" w14:textId="77777777" w:rsidR="008933CA" w:rsidRDefault="008933CA" w:rsidP="004E70DF">
      <w:pPr>
        <w:pStyle w:val="SBDCManualBody"/>
        <w:rPr>
          <w:rFonts w:asciiTheme="minorHAnsi" w:hAnsiTheme="minorHAnsi" w:cs="Times New Roman"/>
          <w:sz w:val="22"/>
          <w:lang w:val="es-CL"/>
        </w:rPr>
      </w:pPr>
    </w:p>
    <w:tbl>
      <w:tblPr>
        <w:tblStyle w:val="Tablaconcuadrcula"/>
        <w:tblW w:w="0" w:type="auto"/>
        <w:tblLook w:val="04A0" w:firstRow="1" w:lastRow="0" w:firstColumn="1" w:lastColumn="0" w:noHBand="0" w:noVBand="1"/>
      </w:tblPr>
      <w:tblGrid>
        <w:gridCol w:w="2213"/>
        <w:gridCol w:w="2200"/>
        <w:gridCol w:w="2202"/>
        <w:gridCol w:w="2213"/>
      </w:tblGrid>
      <w:tr w:rsidR="00E63470" w14:paraId="30A6DB18" w14:textId="77777777" w:rsidTr="00E63470">
        <w:tc>
          <w:tcPr>
            <w:tcW w:w="8978" w:type="dxa"/>
            <w:gridSpan w:val="4"/>
            <w:shd w:val="clear" w:color="auto" w:fill="A6A6A6" w:themeFill="background1" w:themeFillShade="A6"/>
          </w:tcPr>
          <w:p w14:paraId="37CF8ED2" w14:textId="77777777" w:rsidR="00E63470" w:rsidRPr="00E63470" w:rsidRDefault="00E63470" w:rsidP="008E000D">
            <w:pPr>
              <w:pStyle w:val="SBDCManualBody"/>
              <w:spacing w:after="0"/>
              <w:rPr>
                <w:rFonts w:asciiTheme="minorHAnsi" w:hAnsiTheme="minorHAnsi" w:cs="Times New Roman"/>
                <w:b/>
                <w:sz w:val="22"/>
                <w:lang w:val="es-CL"/>
              </w:rPr>
            </w:pPr>
            <w:r w:rsidRPr="00E63470">
              <w:rPr>
                <w:rFonts w:asciiTheme="minorHAnsi" w:hAnsiTheme="minorHAnsi" w:cs="Times New Roman"/>
                <w:b/>
                <w:sz w:val="22"/>
                <w:lang w:val="es-CL"/>
              </w:rPr>
              <w:t xml:space="preserve">10. Equipo Actual del Centro </w:t>
            </w:r>
          </w:p>
        </w:tc>
      </w:tr>
      <w:tr w:rsidR="008933CA" w14:paraId="6C459DD5" w14:textId="77777777" w:rsidTr="00E63470">
        <w:tc>
          <w:tcPr>
            <w:tcW w:w="2244" w:type="dxa"/>
            <w:shd w:val="clear" w:color="auto" w:fill="A6A6A6" w:themeFill="background1" w:themeFillShade="A6"/>
          </w:tcPr>
          <w:p w14:paraId="0C2FE22B" w14:textId="77777777" w:rsidR="008933CA" w:rsidRPr="00E63470" w:rsidRDefault="008933CA" w:rsidP="0095454A">
            <w:pPr>
              <w:pStyle w:val="Prrafodelista"/>
              <w:ind w:left="0"/>
              <w:rPr>
                <w:rFonts w:asciiTheme="minorHAnsi" w:eastAsiaTheme="minorHAnsi" w:hAnsiTheme="minorHAnsi"/>
                <w:b/>
                <w:szCs w:val="22"/>
                <w:lang w:val="es-CL"/>
              </w:rPr>
            </w:pPr>
            <w:r w:rsidRPr="00E63470">
              <w:rPr>
                <w:rFonts w:asciiTheme="minorHAnsi" w:eastAsiaTheme="minorHAnsi" w:hAnsiTheme="minorHAnsi"/>
                <w:b/>
                <w:szCs w:val="22"/>
                <w:lang w:val="es-CL"/>
              </w:rPr>
              <w:t xml:space="preserve">Cargo </w:t>
            </w:r>
          </w:p>
        </w:tc>
        <w:tc>
          <w:tcPr>
            <w:tcW w:w="2244" w:type="dxa"/>
            <w:shd w:val="clear" w:color="auto" w:fill="A6A6A6" w:themeFill="background1" w:themeFillShade="A6"/>
          </w:tcPr>
          <w:p w14:paraId="240432D0" w14:textId="77777777" w:rsidR="008933CA" w:rsidRPr="00E63470" w:rsidRDefault="008933CA" w:rsidP="0095454A">
            <w:pPr>
              <w:pStyle w:val="Prrafodelista"/>
              <w:ind w:left="0"/>
              <w:rPr>
                <w:rFonts w:asciiTheme="minorHAnsi" w:eastAsiaTheme="minorHAnsi" w:hAnsiTheme="minorHAnsi"/>
                <w:b/>
                <w:szCs w:val="22"/>
                <w:lang w:val="es-CL"/>
              </w:rPr>
            </w:pPr>
            <w:r w:rsidRPr="00E63470">
              <w:rPr>
                <w:rFonts w:asciiTheme="minorHAnsi" w:eastAsiaTheme="minorHAnsi" w:hAnsiTheme="minorHAnsi"/>
                <w:b/>
                <w:szCs w:val="22"/>
                <w:lang w:val="es-CL"/>
              </w:rPr>
              <w:t>Nombre del profesional</w:t>
            </w:r>
          </w:p>
        </w:tc>
        <w:tc>
          <w:tcPr>
            <w:tcW w:w="2245" w:type="dxa"/>
            <w:shd w:val="clear" w:color="auto" w:fill="A6A6A6" w:themeFill="background1" w:themeFillShade="A6"/>
          </w:tcPr>
          <w:p w14:paraId="501E08F6" w14:textId="77777777" w:rsidR="008933CA" w:rsidRPr="00E63470" w:rsidRDefault="008933CA" w:rsidP="0095454A">
            <w:pPr>
              <w:pStyle w:val="Prrafodelista"/>
              <w:ind w:left="0"/>
              <w:rPr>
                <w:rFonts w:asciiTheme="minorHAnsi" w:eastAsiaTheme="minorHAnsi" w:hAnsiTheme="minorHAnsi"/>
                <w:b/>
                <w:szCs w:val="22"/>
                <w:lang w:val="es-CL"/>
              </w:rPr>
            </w:pPr>
            <w:r w:rsidRPr="00E63470">
              <w:rPr>
                <w:rFonts w:asciiTheme="minorHAnsi" w:eastAsiaTheme="minorHAnsi" w:hAnsiTheme="minorHAnsi"/>
                <w:b/>
                <w:szCs w:val="22"/>
                <w:lang w:val="es-CL"/>
              </w:rPr>
              <w:t>Fecha de contrato (Día/ Mes/ año)</w:t>
            </w:r>
          </w:p>
        </w:tc>
        <w:tc>
          <w:tcPr>
            <w:tcW w:w="2245" w:type="dxa"/>
            <w:shd w:val="clear" w:color="auto" w:fill="A6A6A6" w:themeFill="background1" w:themeFillShade="A6"/>
          </w:tcPr>
          <w:p w14:paraId="2B4AB670" w14:textId="77777777" w:rsidR="008933CA" w:rsidRPr="00E63470" w:rsidRDefault="008933CA" w:rsidP="0095454A">
            <w:pPr>
              <w:pStyle w:val="Prrafodelista"/>
              <w:ind w:left="0"/>
              <w:rPr>
                <w:rFonts w:asciiTheme="minorHAnsi" w:eastAsiaTheme="minorHAnsi" w:hAnsiTheme="minorHAnsi"/>
                <w:b/>
                <w:szCs w:val="22"/>
                <w:lang w:val="es-CL"/>
              </w:rPr>
            </w:pPr>
            <w:r w:rsidRPr="00E63470">
              <w:rPr>
                <w:rFonts w:asciiTheme="minorHAnsi" w:eastAsiaTheme="minorHAnsi" w:hAnsiTheme="minorHAnsi"/>
                <w:b/>
                <w:szCs w:val="22"/>
                <w:lang w:val="es-CL"/>
              </w:rPr>
              <w:t xml:space="preserve">Tipo de Contrato </w:t>
            </w:r>
          </w:p>
        </w:tc>
      </w:tr>
      <w:tr w:rsidR="008933CA" w14:paraId="086DA496" w14:textId="77777777" w:rsidTr="008933CA">
        <w:tc>
          <w:tcPr>
            <w:tcW w:w="2244" w:type="dxa"/>
          </w:tcPr>
          <w:p w14:paraId="45C4E898" w14:textId="77777777" w:rsidR="008933CA" w:rsidRPr="00E63470" w:rsidRDefault="008933CA" w:rsidP="00E63470">
            <w:pPr>
              <w:pStyle w:val="SBDCManualBody"/>
              <w:spacing w:after="0"/>
              <w:rPr>
                <w:rFonts w:asciiTheme="minorHAnsi" w:eastAsiaTheme="minorHAnsi" w:hAnsiTheme="minorHAnsi" w:cs="Times New Roman"/>
                <w:sz w:val="22"/>
                <w:lang w:val="es-CL"/>
              </w:rPr>
            </w:pPr>
            <w:r w:rsidRPr="00E63470">
              <w:rPr>
                <w:rFonts w:asciiTheme="minorHAnsi" w:eastAsiaTheme="minorHAnsi" w:hAnsiTheme="minorHAnsi" w:cs="Times New Roman"/>
                <w:sz w:val="22"/>
                <w:lang w:val="es-CL"/>
              </w:rPr>
              <w:t>Director</w:t>
            </w:r>
          </w:p>
        </w:tc>
        <w:tc>
          <w:tcPr>
            <w:tcW w:w="2244" w:type="dxa"/>
          </w:tcPr>
          <w:p w14:paraId="2E1BDE92" w14:textId="77777777" w:rsidR="008933CA" w:rsidRPr="00E63470" w:rsidRDefault="00C33650" w:rsidP="00E63470">
            <w:pPr>
              <w:pStyle w:val="SBDCManualBody"/>
              <w:spacing w:after="0"/>
              <w:rPr>
                <w:rFonts w:asciiTheme="minorHAnsi" w:eastAsiaTheme="minorHAnsi" w:hAnsiTheme="minorHAnsi" w:cs="Times New Roman"/>
                <w:sz w:val="22"/>
                <w:lang w:val="es-CL"/>
              </w:rPr>
            </w:pPr>
            <w:r>
              <w:rPr>
                <w:rFonts w:asciiTheme="minorHAnsi" w:eastAsiaTheme="minorHAnsi" w:hAnsiTheme="minorHAnsi" w:cs="Times New Roman"/>
                <w:sz w:val="22"/>
                <w:lang w:val="es-CL"/>
              </w:rPr>
              <w:t>Rodrigo A. Uribe C.</w:t>
            </w:r>
          </w:p>
        </w:tc>
        <w:tc>
          <w:tcPr>
            <w:tcW w:w="2245" w:type="dxa"/>
          </w:tcPr>
          <w:p w14:paraId="7E364839" w14:textId="77777777" w:rsidR="008933CA" w:rsidRPr="00E63470" w:rsidRDefault="00420E5D" w:rsidP="00E63470">
            <w:pPr>
              <w:pStyle w:val="SBDCManualBody"/>
              <w:spacing w:after="0"/>
              <w:rPr>
                <w:rFonts w:asciiTheme="minorHAnsi" w:eastAsiaTheme="minorHAnsi" w:hAnsiTheme="minorHAnsi" w:cs="Times New Roman"/>
                <w:sz w:val="22"/>
                <w:lang w:val="es-CL"/>
              </w:rPr>
            </w:pPr>
            <w:r>
              <w:rPr>
                <w:rFonts w:asciiTheme="minorHAnsi" w:eastAsiaTheme="minorHAnsi" w:hAnsiTheme="minorHAnsi" w:cs="Times New Roman"/>
                <w:sz w:val="22"/>
                <w:lang w:val="es-CL"/>
              </w:rPr>
              <w:t>01/12/2015</w:t>
            </w:r>
          </w:p>
        </w:tc>
        <w:tc>
          <w:tcPr>
            <w:tcW w:w="2245" w:type="dxa"/>
          </w:tcPr>
          <w:p w14:paraId="037DB3F6" w14:textId="77777777" w:rsidR="008933CA" w:rsidRPr="00E63470" w:rsidRDefault="00E454C7" w:rsidP="00E63470">
            <w:pPr>
              <w:pStyle w:val="SBDCManualBody"/>
              <w:spacing w:after="0"/>
              <w:rPr>
                <w:rFonts w:asciiTheme="minorHAnsi" w:eastAsiaTheme="minorHAnsi" w:hAnsiTheme="minorHAnsi" w:cs="Times New Roman"/>
                <w:sz w:val="22"/>
                <w:lang w:val="es-CL"/>
              </w:rPr>
            </w:pPr>
            <w:commentRangeStart w:id="12"/>
            <w:r>
              <w:rPr>
                <w:rFonts w:asciiTheme="minorHAnsi" w:eastAsiaTheme="minorHAnsi" w:hAnsiTheme="minorHAnsi" w:cs="Times New Roman"/>
                <w:sz w:val="22"/>
                <w:lang w:val="es-CL"/>
              </w:rPr>
              <w:t>Indefinido</w:t>
            </w:r>
            <w:commentRangeEnd w:id="12"/>
            <w:r w:rsidR="00B825C7">
              <w:rPr>
                <w:rStyle w:val="Refdecomentario"/>
                <w:rFonts w:asciiTheme="minorHAnsi" w:eastAsiaTheme="minorHAnsi" w:hAnsiTheme="minorHAnsi" w:cstheme="minorBidi"/>
                <w:lang w:val="es-CL"/>
              </w:rPr>
              <w:commentReference w:id="12"/>
            </w:r>
          </w:p>
        </w:tc>
      </w:tr>
      <w:tr w:rsidR="008933CA" w14:paraId="3552FFF6" w14:textId="77777777" w:rsidTr="008933CA">
        <w:tc>
          <w:tcPr>
            <w:tcW w:w="2244" w:type="dxa"/>
          </w:tcPr>
          <w:p w14:paraId="714FB527" w14:textId="77777777" w:rsidR="008933CA" w:rsidRPr="00E63470" w:rsidRDefault="008933CA" w:rsidP="00E63470">
            <w:pPr>
              <w:pStyle w:val="SBDCManualBody"/>
              <w:spacing w:after="0"/>
              <w:rPr>
                <w:rFonts w:asciiTheme="minorHAnsi" w:eastAsiaTheme="minorHAnsi" w:hAnsiTheme="minorHAnsi" w:cs="Times New Roman"/>
                <w:sz w:val="22"/>
                <w:lang w:val="es-CL"/>
              </w:rPr>
            </w:pPr>
            <w:r w:rsidRPr="00E63470">
              <w:rPr>
                <w:rFonts w:asciiTheme="minorHAnsi" w:eastAsiaTheme="minorHAnsi" w:hAnsiTheme="minorHAnsi" w:cs="Times New Roman"/>
                <w:sz w:val="22"/>
                <w:lang w:val="es-CL"/>
              </w:rPr>
              <w:t>Asesor Sénior</w:t>
            </w:r>
          </w:p>
        </w:tc>
        <w:tc>
          <w:tcPr>
            <w:tcW w:w="2244" w:type="dxa"/>
          </w:tcPr>
          <w:p w14:paraId="19E58EE2" w14:textId="77777777" w:rsidR="008933CA" w:rsidRPr="00E63470" w:rsidRDefault="00C33650" w:rsidP="00E63470">
            <w:pPr>
              <w:pStyle w:val="SBDCManualBody"/>
              <w:spacing w:after="0"/>
              <w:rPr>
                <w:rFonts w:asciiTheme="minorHAnsi" w:eastAsiaTheme="minorHAnsi" w:hAnsiTheme="minorHAnsi" w:cs="Times New Roman"/>
                <w:sz w:val="22"/>
                <w:lang w:val="es-CL"/>
              </w:rPr>
            </w:pPr>
            <w:r>
              <w:rPr>
                <w:rFonts w:asciiTheme="minorHAnsi" w:eastAsiaTheme="minorHAnsi" w:hAnsiTheme="minorHAnsi" w:cs="Times New Roman"/>
                <w:sz w:val="22"/>
                <w:lang w:val="es-CL"/>
              </w:rPr>
              <w:t>Oscar T. Belmar Y.</w:t>
            </w:r>
          </w:p>
        </w:tc>
        <w:tc>
          <w:tcPr>
            <w:tcW w:w="2245" w:type="dxa"/>
          </w:tcPr>
          <w:p w14:paraId="16A7355E" w14:textId="77777777" w:rsidR="008933CA" w:rsidRPr="00E63470" w:rsidRDefault="00420E5D" w:rsidP="00E63470">
            <w:pPr>
              <w:pStyle w:val="SBDCManualBody"/>
              <w:spacing w:after="0"/>
              <w:rPr>
                <w:rFonts w:asciiTheme="minorHAnsi" w:eastAsiaTheme="minorHAnsi" w:hAnsiTheme="minorHAnsi" w:cs="Times New Roman"/>
                <w:sz w:val="22"/>
                <w:lang w:val="es-CL"/>
              </w:rPr>
            </w:pPr>
            <w:r>
              <w:rPr>
                <w:rFonts w:asciiTheme="minorHAnsi" w:eastAsiaTheme="minorHAnsi" w:hAnsiTheme="minorHAnsi" w:cs="Times New Roman"/>
                <w:sz w:val="22"/>
                <w:lang w:val="es-CL"/>
              </w:rPr>
              <w:t>01/11/2015</w:t>
            </w:r>
          </w:p>
        </w:tc>
        <w:tc>
          <w:tcPr>
            <w:tcW w:w="2245" w:type="dxa"/>
          </w:tcPr>
          <w:p w14:paraId="27B712A5" w14:textId="77777777" w:rsidR="008933CA" w:rsidRPr="00E63470" w:rsidRDefault="00E454C7" w:rsidP="00E63470">
            <w:pPr>
              <w:pStyle w:val="SBDCManualBody"/>
              <w:spacing w:after="0"/>
              <w:rPr>
                <w:rFonts w:asciiTheme="minorHAnsi" w:eastAsiaTheme="minorHAnsi" w:hAnsiTheme="minorHAnsi" w:cs="Times New Roman"/>
                <w:sz w:val="22"/>
                <w:lang w:val="es-CL"/>
              </w:rPr>
            </w:pPr>
            <w:commentRangeStart w:id="13"/>
            <w:r>
              <w:rPr>
                <w:rFonts w:asciiTheme="minorHAnsi" w:eastAsiaTheme="minorHAnsi" w:hAnsiTheme="minorHAnsi" w:cs="Times New Roman"/>
                <w:sz w:val="22"/>
                <w:lang w:val="es-CL"/>
              </w:rPr>
              <w:t>Indefinido</w:t>
            </w:r>
            <w:commentRangeEnd w:id="13"/>
            <w:r w:rsidR="00B825C7">
              <w:rPr>
                <w:rStyle w:val="Refdecomentario"/>
                <w:rFonts w:asciiTheme="minorHAnsi" w:eastAsiaTheme="minorHAnsi" w:hAnsiTheme="minorHAnsi" w:cstheme="minorBidi"/>
                <w:lang w:val="es-CL"/>
              </w:rPr>
              <w:commentReference w:id="13"/>
            </w:r>
          </w:p>
        </w:tc>
      </w:tr>
      <w:tr w:rsidR="008933CA" w14:paraId="3C216266" w14:textId="77777777" w:rsidTr="008933CA">
        <w:tc>
          <w:tcPr>
            <w:tcW w:w="2244" w:type="dxa"/>
          </w:tcPr>
          <w:p w14:paraId="4C3246CD" w14:textId="77777777" w:rsidR="008933CA" w:rsidRPr="00E63470" w:rsidRDefault="008933CA" w:rsidP="00E63470">
            <w:pPr>
              <w:rPr>
                <w:rFonts w:cs="Times New Roman"/>
              </w:rPr>
            </w:pPr>
            <w:r w:rsidRPr="00B27A5C">
              <w:rPr>
                <w:rFonts w:cs="Times New Roman"/>
              </w:rPr>
              <w:t>Asesor Sénior</w:t>
            </w:r>
          </w:p>
        </w:tc>
        <w:tc>
          <w:tcPr>
            <w:tcW w:w="2244" w:type="dxa"/>
          </w:tcPr>
          <w:p w14:paraId="3FD2F66C" w14:textId="77777777" w:rsidR="008933CA" w:rsidRPr="00E63470" w:rsidRDefault="008933CA" w:rsidP="00E63470">
            <w:pPr>
              <w:pStyle w:val="SBDCManualBody"/>
              <w:spacing w:after="0"/>
              <w:rPr>
                <w:rFonts w:asciiTheme="minorHAnsi" w:eastAsiaTheme="minorHAnsi" w:hAnsiTheme="minorHAnsi" w:cs="Times New Roman"/>
                <w:sz w:val="22"/>
                <w:lang w:val="es-CL"/>
              </w:rPr>
            </w:pPr>
          </w:p>
        </w:tc>
        <w:tc>
          <w:tcPr>
            <w:tcW w:w="2245" w:type="dxa"/>
          </w:tcPr>
          <w:p w14:paraId="1B445FCF" w14:textId="77777777" w:rsidR="008933CA" w:rsidRPr="00E63470" w:rsidRDefault="008933CA" w:rsidP="00E63470">
            <w:pPr>
              <w:pStyle w:val="SBDCManualBody"/>
              <w:spacing w:after="0"/>
              <w:rPr>
                <w:rFonts w:asciiTheme="minorHAnsi" w:eastAsiaTheme="minorHAnsi" w:hAnsiTheme="minorHAnsi" w:cs="Times New Roman"/>
                <w:sz w:val="22"/>
                <w:lang w:val="es-CL"/>
              </w:rPr>
            </w:pPr>
          </w:p>
        </w:tc>
        <w:tc>
          <w:tcPr>
            <w:tcW w:w="2245" w:type="dxa"/>
          </w:tcPr>
          <w:p w14:paraId="291C421F" w14:textId="77777777" w:rsidR="008933CA" w:rsidRPr="00E63470" w:rsidRDefault="008933CA" w:rsidP="00E63470">
            <w:pPr>
              <w:pStyle w:val="SBDCManualBody"/>
              <w:spacing w:after="0"/>
              <w:rPr>
                <w:rFonts w:asciiTheme="minorHAnsi" w:eastAsiaTheme="minorHAnsi" w:hAnsiTheme="minorHAnsi" w:cs="Times New Roman"/>
                <w:sz w:val="22"/>
                <w:lang w:val="es-CL"/>
              </w:rPr>
            </w:pPr>
          </w:p>
        </w:tc>
      </w:tr>
      <w:tr w:rsidR="008933CA" w14:paraId="55EAF96C" w14:textId="77777777" w:rsidTr="008933CA">
        <w:tc>
          <w:tcPr>
            <w:tcW w:w="2244" w:type="dxa"/>
          </w:tcPr>
          <w:p w14:paraId="67C8B34D" w14:textId="77777777" w:rsidR="008933CA" w:rsidRPr="00E63470" w:rsidRDefault="008933CA" w:rsidP="00E63470">
            <w:pPr>
              <w:rPr>
                <w:rFonts w:cs="Times New Roman"/>
              </w:rPr>
            </w:pPr>
            <w:r w:rsidRPr="00B27A5C">
              <w:rPr>
                <w:rFonts w:cs="Times New Roman"/>
              </w:rPr>
              <w:t>Asesor Sénior</w:t>
            </w:r>
          </w:p>
        </w:tc>
        <w:tc>
          <w:tcPr>
            <w:tcW w:w="2244" w:type="dxa"/>
          </w:tcPr>
          <w:p w14:paraId="19937F6B" w14:textId="77777777" w:rsidR="008933CA" w:rsidRPr="00E63470" w:rsidRDefault="008933CA" w:rsidP="00E63470">
            <w:pPr>
              <w:pStyle w:val="SBDCManualBody"/>
              <w:spacing w:after="0"/>
              <w:rPr>
                <w:rFonts w:asciiTheme="minorHAnsi" w:eastAsiaTheme="minorHAnsi" w:hAnsiTheme="minorHAnsi" w:cs="Times New Roman"/>
                <w:sz w:val="22"/>
                <w:lang w:val="es-CL"/>
              </w:rPr>
            </w:pPr>
          </w:p>
        </w:tc>
        <w:tc>
          <w:tcPr>
            <w:tcW w:w="2245" w:type="dxa"/>
          </w:tcPr>
          <w:p w14:paraId="4A8BFBAB" w14:textId="77777777" w:rsidR="008933CA" w:rsidRPr="00E63470" w:rsidRDefault="008933CA" w:rsidP="00E63470">
            <w:pPr>
              <w:pStyle w:val="SBDCManualBody"/>
              <w:spacing w:after="0"/>
              <w:rPr>
                <w:rFonts w:asciiTheme="minorHAnsi" w:eastAsiaTheme="minorHAnsi" w:hAnsiTheme="minorHAnsi" w:cs="Times New Roman"/>
                <w:sz w:val="22"/>
                <w:lang w:val="es-CL"/>
              </w:rPr>
            </w:pPr>
          </w:p>
        </w:tc>
        <w:tc>
          <w:tcPr>
            <w:tcW w:w="2245" w:type="dxa"/>
          </w:tcPr>
          <w:p w14:paraId="7742BA1E" w14:textId="77777777" w:rsidR="008933CA" w:rsidRPr="00E63470" w:rsidRDefault="008933CA" w:rsidP="00E63470">
            <w:pPr>
              <w:pStyle w:val="SBDCManualBody"/>
              <w:spacing w:after="0"/>
              <w:rPr>
                <w:rFonts w:asciiTheme="minorHAnsi" w:eastAsiaTheme="minorHAnsi" w:hAnsiTheme="minorHAnsi" w:cs="Times New Roman"/>
                <w:sz w:val="22"/>
                <w:lang w:val="es-CL"/>
              </w:rPr>
            </w:pPr>
          </w:p>
        </w:tc>
      </w:tr>
      <w:tr w:rsidR="008933CA" w14:paraId="6A9F02E1" w14:textId="77777777" w:rsidTr="008933CA">
        <w:tc>
          <w:tcPr>
            <w:tcW w:w="2244" w:type="dxa"/>
          </w:tcPr>
          <w:p w14:paraId="326F8D0F" w14:textId="77777777" w:rsidR="008933CA" w:rsidRPr="00E63470" w:rsidRDefault="008933CA" w:rsidP="00E63470">
            <w:pPr>
              <w:pStyle w:val="SBDCManualBody"/>
              <w:spacing w:after="0"/>
              <w:rPr>
                <w:rFonts w:asciiTheme="minorHAnsi" w:eastAsiaTheme="minorHAnsi" w:hAnsiTheme="minorHAnsi" w:cs="Times New Roman"/>
                <w:sz w:val="22"/>
                <w:lang w:val="es-CL"/>
              </w:rPr>
            </w:pPr>
            <w:r w:rsidRPr="00E63470">
              <w:rPr>
                <w:rFonts w:asciiTheme="minorHAnsi" w:eastAsiaTheme="minorHAnsi" w:hAnsiTheme="minorHAnsi" w:cs="Times New Roman"/>
                <w:sz w:val="22"/>
                <w:lang w:val="es-CL"/>
              </w:rPr>
              <w:t>Asesor Junior</w:t>
            </w:r>
          </w:p>
        </w:tc>
        <w:tc>
          <w:tcPr>
            <w:tcW w:w="2244" w:type="dxa"/>
          </w:tcPr>
          <w:p w14:paraId="7C8356B5" w14:textId="77777777" w:rsidR="008933CA" w:rsidRPr="00E63470" w:rsidRDefault="00C33650" w:rsidP="00E63470">
            <w:pPr>
              <w:pStyle w:val="SBDCManualBody"/>
              <w:spacing w:after="0"/>
              <w:rPr>
                <w:rFonts w:asciiTheme="minorHAnsi" w:eastAsiaTheme="minorHAnsi" w:hAnsiTheme="minorHAnsi" w:cs="Times New Roman"/>
                <w:sz w:val="22"/>
                <w:lang w:val="es-CL"/>
              </w:rPr>
            </w:pPr>
            <w:r>
              <w:rPr>
                <w:rFonts w:asciiTheme="minorHAnsi" w:eastAsiaTheme="minorHAnsi" w:hAnsiTheme="minorHAnsi" w:cs="Times New Roman"/>
                <w:sz w:val="22"/>
                <w:lang w:val="es-CL"/>
              </w:rPr>
              <w:t>Nicolás P. Cancino M.</w:t>
            </w:r>
          </w:p>
        </w:tc>
        <w:tc>
          <w:tcPr>
            <w:tcW w:w="2245" w:type="dxa"/>
          </w:tcPr>
          <w:p w14:paraId="55A24AEC" w14:textId="77777777" w:rsidR="008933CA" w:rsidRPr="00E63470" w:rsidRDefault="00420E5D" w:rsidP="00E63470">
            <w:pPr>
              <w:pStyle w:val="SBDCManualBody"/>
              <w:spacing w:after="0"/>
              <w:rPr>
                <w:rFonts w:asciiTheme="minorHAnsi" w:eastAsiaTheme="minorHAnsi" w:hAnsiTheme="minorHAnsi" w:cs="Times New Roman"/>
                <w:sz w:val="22"/>
                <w:lang w:val="es-CL"/>
              </w:rPr>
            </w:pPr>
            <w:r>
              <w:rPr>
                <w:rFonts w:asciiTheme="minorHAnsi" w:eastAsiaTheme="minorHAnsi" w:hAnsiTheme="minorHAnsi" w:cs="Times New Roman"/>
                <w:sz w:val="22"/>
                <w:lang w:val="es-CL"/>
              </w:rPr>
              <w:t>01/10/2016</w:t>
            </w:r>
          </w:p>
        </w:tc>
        <w:tc>
          <w:tcPr>
            <w:tcW w:w="2245" w:type="dxa"/>
          </w:tcPr>
          <w:p w14:paraId="4E213299" w14:textId="77777777" w:rsidR="008933CA" w:rsidRPr="00E63470" w:rsidRDefault="00E454C7" w:rsidP="00E63470">
            <w:pPr>
              <w:pStyle w:val="SBDCManualBody"/>
              <w:spacing w:after="0"/>
              <w:rPr>
                <w:rFonts w:asciiTheme="minorHAnsi" w:eastAsiaTheme="minorHAnsi" w:hAnsiTheme="minorHAnsi" w:cs="Times New Roman"/>
                <w:sz w:val="22"/>
                <w:lang w:val="es-CL"/>
              </w:rPr>
            </w:pPr>
            <w:r>
              <w:rPr>
                <w:rFonts w:asciiTheme="minorHAnsi" w:eastAsiaTheme="minorHAnsi" w:hAnsiTheme="minorHAnsi" w:cs="Times New Roman"/>
                <w:sz w:val="22"/>
                <w:lang w:val="es-CL"/>
              </w:rPr>
              <w:t>Indefinido</w:t>
            </w:r>
          </w:p>
        </w:tc>
      </w:tr>
      <w:tr w:rsidR="008933CA" w14:paraId="10D75ED8" w14:textId="77777777" w:rsidTr="008933CA">
        <w:tc>
          <w:tcPr>
            <w:tcW w:w="2244" w:type="dxa"/>
          </w:tcPr>
          <w:p w14:paraId="713E4FC5" w14:textId="77777777" w:rsidR="008933CA" w:rsidRPr="00E63470" w:rsidRDefault="008933CA" w:rsidP="00E63470">
            <w:pPr>
              <w:rPr>
                <w:rFonts w:cs="Times New Roman"/>
              </w:rPr>
            </w:pPr>
            <w:r w:rsidRPr="00643A38">
              <w:rPr>
                <w:rFonts w:cs="Times New Roman"/>
              </w:rPr>
              <w:t>Asesor Junior</w:t>
            </w:r>
          </w:p>
        </w:tc>
        <w:tc>
          <w:tcPr>
            <w:tcW w:w="2244" w:type="dxa"/>
          </w:tcPr>
          <w:p w14:paraId="7E873731" w14:textId="77777777" w:rsidR="008933CA" w:rsidRPr="00E63470" w:rsidRDefault="008933CA" w:rsidP="00E63470">
            <w:pPr>
              <w:pStyle w:val="SBDCManualBody"/>
              <w:spacing w:after="0"/>
              <w:rPr>
                <w:rFonts w:asciiTheme="minorHAnsi" w:eastAsiaTheme="minorHAnsi" w:hAnsiTheme="minorHAnsi" w:cs="Times New Roman"/>
                <w:sz w:val="22"/>
                <w:lang w:val="es-CL"/>
              </w:rPr>
            </w:pPr>
          </w:p>
        </w:tc>
        <w:tc>
          <w:tcPr>
            <w:tcW w:w="2245" w:type="dxa"/>
          </w:tcPr>
          <w:p w14:paraId="245D521B" w14:textId="77777777" w:rsidR="008933CA" w:rsidRPr="00E63470" w:rsidRDefault="008933CA" w:rsidP="00E63470">
            <w:pPr>
              <w:pStyle w:val="SBDCManualBody"/>
              <w:spacing w:after="0"/>
              <w:rPr>
                <w:rFonts w:asciiTheme="minorHAnsi" w:eastAsiaTheme="minorHAnsi" w:hAnsiTheme="minorHAnsi" w:cs="Times New Roman"/>
                <w:sz w:val="22"/>
                <w:lang w:val="es-CL"/>
              </w:rPr>
            </w:pPr>
          </w:p>
        </w:tc>
        <w:tc>
          <w:tcPr>
            <w:tcW w:w="2245" w:type="dxa"/>
          </w:tcPr>
          <w:p w14:paraId="2B23A0AA" w14:textId="77777777" w:rsidR="008933CA" w:rsidRPr="00E63470" w:rsidRDefault="008933CA" w:rsidP="00E63470">
            <w:pPr>
              <w:pStyle w:val="SBDCManualBody"/>
              <w:spacing w:after="0"/>
              <w:rPr>
                <w:rFonts w:asciiTheme="minorHAnsi" w:eastAsiaTheme="minorHAnsi" w:hAnsiTheme="minorHAnsi" w:cs="Times New Roman"/>
                <w:sz w:val="22"/>
                <w:lang w:val="es-CL"/>
              </w:rPr>
            </w:pPr>
          </w:p>
        </w:tc>
      </w:tr>
      <w:tr w:rsidR="008933CA" w14:paraId="420DF091" w14:textId="77777777" w:rsidTr="008933CA">
        <w:tc>
          <w:tcPr>
            <w:tcW w:w="2244" w:type="dxa"/>
          </w:tcPr>
          <w:p w14:paraId="315E4A14" w14:textId="77777777" w:rsidR="008933CA" w:rsidRPr="00E63470" w:rsidRDefault="008933CA" w:rsidP="00E63470">
            <w:pPr>
              <w:rPr>
                <w:rFonts w:cs="Times New Roman"/>
              </w:rPr>
            </w:pPr>
            <w:r w:rsidRPr="00643A38">
              <w:rPr>
                <w:rFonts w:cs="Times New Roman"/>
              </w:rPr>
              <w:t>Asesor Junior</w:t>
            </w:r>
          </w:p>
        </w:tc>
        <w:tc>
          <w:tcPr>
            <w:tcW w:w="2244" w:type="dxa"/>
          </w:tcPr>
          <w:p w14:paraId="094CB14B" w14:textId="77777777" w:rsidR="008933CA" w:rsidRPr="00E63470" w:rsidRDefault="008933CA" w:rsidP="00E63470">
            <w:pPr>
              <w:pStyle w:val="SBDCManualBody"/>
              <w:spacing w:after="0"/>
              <w:rPr>
                <w:rFonts w:asciiTheme="minorHAnsi" w:eastAsiaTheme="minorHAnsi" w:hAnsiTheme="minorHAnsi" w:cs="Times New Roman"/>
                <w:sz w:val="22"/>
                <w:lang w:val="es-CL"/>
              </w:rPr>
            </w:pPr>
          </w:p>
        </w:tc>
        <w:tc>
          <w:tcPr>
            <w:tcW w:w="2245" w:type="dxa"/>
          </w:tcPr>
          <w:p w14:paraId="5E3A3D6C" w14:textId="77777777" w:rsidR="008933CA" w:rsidRPr="00E63470" w:rsidRDefault="008933CA" w:rsidP="00E63470">
            <w:pPr>
              <w:pStyle w:val="SBDCManualBody"/>
              <w:spacing w:after="0"/>
              <w:rPr>
                <w:rFonts w:asciiTheme="minorHAnsi" w:eastAsiaTheme="minorHAnsi" w:hAnsiTheme="minorHAnsi" w:cs="Times New Roman"/>
                <w:sz w:val="22"/>
                <w:lang w:val="es-CL"/>
              </w:rPr>
            </w:pPr>
          </w:p>
        </w:tc>
        <w:tc>
          <w:tcPr>
            <w:tcW w:w="2245" w:type="dxa"/>
          </w:tcPr>
          <w:p w14:paraId="7B533465" w14:textId="77777777" w:rsidR="008933CA" w:rsidRPr="00E63470" w:rsidRDefault="008933CA" w:rsidP="00E63470">
            <w:pPr>
              <w:pStyle w:val="SBDCManualBody"/>
              <w:spacing w:after="0"/>
              <w:rPr>
                <w:rFonts w:asciiTheme="minorHAnsi" w:eastAsiaTheme="minorHAnsi" w:hAnsiTheme="minorHAnsi" w:cs="Times New Roman"/>
                <w:sz w:val="22"/>
                <w:lang w:val="es-CL"/>
              </w:rPr>
            </w:pPr>
          </w:p>
        </w:tc>
      </w:tr>
      <w:tr w:rsidR="008933CA" w14:paraId="65A57842" w14:textId="77777777" w:rsidTr="008933CA">
        <w:tc>
          <w:tcPr>
            <w:tcW w:w="2244" w:type="dxa"/>
          </w:tcPr>
          <w:p w14:paraId="2BD2B77B" w14:textId="77777777" w:rsidR="008933CA" w:rsidRPr="00E63470" w:rsidRDefault="008933CA" w:rsidP="00E63470">
            <w:pPr>
              <w:pStyle w:val="SBDCManualBody"/>
              <w:spacing w:after="0"/>
              <w:rPr>
                <w:rFonts w:asciiTheme="minorHAnsi" w:eastAsiaTheme="minorHAnsi" w:hAnsiTheme="minorHAnsi" w:cs="Times New Roman"/>
                <w:sz w:val="22"/>
                <w:lang w:val="es-CL"/>
              </w:rPr>
            </w:pPr>
            <w:r w:rsidRPr="00E63470">
              <w:rPr>
                <w:rFonts w:asciiTheme="minorHAnsi" w:eastAsiaTheme="minorHAnsi" w:hAnsiTheme="minorHAnsi" w:cs="Times New Roman"/>
                <w:sz w:val="22"/>
                <w:lang w:val="es-CL"/>
              </w:rPr>
              <w:t>Asistente Ejecutivo</w:t>
            </w:r>
          </w:p>
        </w:tc>
        <w:tc>
          <w:tcPr>
            <w:tcW w:w="2244" w:type="dxa"/>
          </w:tcPr>
          <w:p w14:paraId="4DD5A421" w14:textId="77777777" w:rsidR="008933CA" w:rsidRPr="00E63470" w:rsidRDefault="00C33650" w:rsidP="00E63470">
            <w:pPr>
              <w:pStyle w:val="SBDCManualBody"/>
              <w:spacing w:after="0"/>
              <w:rPr>
                <w:rFonts w:asciiTheme="minorHAnsi" w:eastAsiaTheme="minorHAnsi" w:hAnsiTheme="minorHAnsi" w:cs="Times New Roman"/>
                <w:sz w:val="22"/>
                <w:lang w:val="es-CL"/>
              </w:rPr>
            </w:pPr>
            <w:r>
              <w:rPr>
                <w:rFonts w:asciiTheme="minorHAnsi" w:eastAsiaTheme="minorHAnsi" w:hAnsiTheme="minorHAnsi" w:cs="Times New Roman"/>
                <w:sz w:val="22"/>
                <w:lang w:val="es-CL"/>
              </w:rPr>
              <w:t>Magaly V. Ramírez M.</w:t>
            </w:r>
          </w:p>
        </w:tc>
        <w:tc>
          <w:tcPr>
            <w:tcW w:w="2245" w:type="dxa"/>
          </w:tcPr>
          <w:p w14:paraId="1806538B" w14:textId="77777777" w:rsidR="008933CA" w:rsidRPr="00E63470" w:rsidRDefault="00420E5D" w:rsidP="00E63470">
            <w:pPr>
              <w:pStyle w:val="SBDCManualBody"/>
              <w:spacing w:after="0"/>
              <w:rPr>
                <w:rFonts w:asciiTheme="minorHAnsi" w:eastAsiaTheme="minorHAnsi" w:hAnsiTheme="minorHAnsi" w:cs="Times New Roman"/>
                <w:sz w:val="22"/>
                <w:lang w:val="es-CL"/>
              </w:rPr>
            </w:pPr>
            <w:r>
              <w:rPr>
                <w:rFonts w:asciiTheme="minorHAnsi" w:eastAsiaTheme="minorHAnsi" w:hAnsiTheme="minorHAnsi" w:cs="Times New Roman"/>
                <w:sz w:val="22"/>
                <w:lang w:val="es-CL"/>
              </w:rPr>
              <w:t>27/</w:t>
            </w:r>
            <w:r w:rsidR="00E454C7">
              <w:rPr>
                <w:rFonts w:asciiTheme="minorHAnsi" w:eastAsiaTheme="minorHAnsi" w:hAnsiTheme="minorHAnsi" w:cs="Times New Roman"/>
                <w:sz w:val="22"/>
                <w:lang w:val="es-CL"/>
              </w:rPr>
              <w:t>03/2017</w:t>
            </w:r>
          </w:p>
        </w:tc>
        <w:tc>
          <w:tcPr>
            <w:tcW w:w="2245" w:type="dxa"/>
          </w:tcPr>
          <w:p w14:paraId="45BFAEE6" w14:textId="77777777" w:rsidR="008933CA" w:rsidRPr="00E63470" w:rsidRDefault="00E454C7" w:rsidP="00E63470">
            <w:pPr>
              <w:pStyle w:val="SBDCManualBody"/>
              <w:spacing w:after="0"/>
              <w:rPr>
                <w:rFonts w:asciiTheme="minorHAnsi" w:eastAsiaTheme="minorHAnsi" w:hAnsiTheme="minorHAnsi" w:cs="Times New Roman"/>
                <w:sz w:val="22"/>
                <w:lang w:val="es-CL"/>
              </w:rPr>
            </w:pPr>
            <w:r>
              <w:rPr>
                <w:rFonts w:asciiTheme="minorHAnsi" w:eastAsiaTheme="minorHAnsi" w:hAnsiTheme="minorHAnsi" w:cs="Times New Roman"/>
                <w:sz w:val="22"/>
                <w:lang w:val="es-CL"/>
              </w:rPr>
              <w:t>Indefinido</w:t>
            </w:r>
          </w:p>
        </w:tc>
      </w:tr>
      <w:tr w:rsidR="008933CA" w14:paraId="11FDAE69" w14:textId="77777777" w:rsidTr="008933CA">
        <w:tc>
          <w:tcPr>
            <w:tcW w:w="2244" w:type="dxa"/>
          </w:tcPr>
          <w:p w14:paraId="1803597D" w14:textId="77777777" w:rsidR="008933CA" w:rsidRPr="00E63470" w:rsidRDefault="008933CA" w:rsidP="00E63470">
            <w:pPr>
              <w:pStyle w:val="SBDCManualBody"/>
              <w:spacing w:after="0"/>
              <w:rPr>
                <w:rFonts w:asciiTheme="minorHAnsi" w:eastAsiaTheme="minorHAnsi" w:hAnsiTheme="minorHAnsi" w:cs="Times New Roman"/>
                <w:sz w:val="22"/>
                <w:lang w:val="es-CL"/>
              </w:rPr>
            </w:pPr>
            <w:r w:rsidRPr="00E63470">
              <w:rPr>
                <w:rFonts w:asciiTheme="minorHAnsi" w:eastAsiaTheme="minorHAnsi" w:hAnsiTheme="minorHAnsi" w:cs="Times New Roman"/>
                <w:sz w:val="22"/>
                <w:lang w:val="es-CL"/>
              </w:rPr>
              <w:t>Asistente Administrativo</w:t>
            </w:r>
          </w:p>
        </w:tc>
        <w:tc>
          <w:tcPr>
            <w:tcW w:w="2244" w:type="dxa"/>
          </w:tcPr>
          <w:p w14:paraId="538CDE43" w14:textId="77777777" w:rsidR="008933CA" w:rsidRPr="00E63470" w:rsidRDefault="00C33650" w:rsidP="00E63470">
            <w:pPr>
              <w:pStyle w:val="SBDCManualBody"/>
              <w:spacing w:after="0"/>
              <w:rPr>
                <w:rFonts w:asciiTheme="minorHAnsi" w:eastAsiaTheme="minorHAnsi" w:hAnsiTheme="minorHAnsi" w:cs="Times New Roman"/>
                <w:sz w:val="22"/>
                <w:lang w:val="es-CL"/>
              </w:rPr>
            </w:pPr>
            <w:r>
              <w:rPr>
                <w:rFonts w:asciiTheme="minorHAnsi" w:eastAsiaTheme="minorHAnsi" w:hAnsiTheme="minorHAnsi" w:cs="Times New Roman"/>
                <w:sz w:val="22"/>
                <w:lang w:val="es-CL"/>
              </w:rPr>
              <w:t>Carolina D. Parra H.</w:t>
            </w:r>
          </w:p>
        </w:tc>
        <w:tc>
          <w:tcPr>
            <w:tcW w:w="2245" w:type="dxa"/>
          </w:tcPr>
          <w:p w14:paraId="5E377F9D" w14:textId="77777777" w:rsidR="008933CA" w:rsidRPr="00E63470" w:rsidRDefault="00420E5D" w:rsidP="00E63470">
            <w:pPr>
              <w:pStyle w:val="SBDCManualBody"/>
              <w:spacing w:after="0"/>
              <w:rPr>
                <w:rFonts w:asciiTheme="minorHAnsi" w:eastAsiaTheme="minorHAnsi" w:hAnsiTheme="minorHAnsi" w:cs="Times New Roman"/>
                <w:sz w:val="22"/>
                <w:lang w:val="es-CL"/>
              </w:rPr>
            </w:pPr>
            <w:r>
              <w:rPr>
                <w:rFonts w:asciiTheme="minorHAnsi" w:eastAsiaTheme="minorHAnsi" w:hAnsiTheme="minorHAnsi" w:cs="Times New Roman"/>
                <w:sz w:val="22"/>
                <w:lang w:val="es-CL"/>
              </w:rPr>
              <w:t>21/12/2015</w:t>
            </w:r>
          </w:p>
        </w:tc>
        <w:tc>
          <w:tcPr>
            <w:tcW w:w="2245" w:type="dxa"/>
          </w:tcPr>
          <w:p w14:paraId="12278A9F" w14:textId="77777777" w:rsidR="008933CA" w:rsidRPr="00E63470" w:rsidRDefault="00E454C7" w:rsidP="00E63470">
            <w:pPr>
              <w:pStyle w:val="SBDCManualBody"/>
              <w:spacing w:after="0"/>
              <w:rPr>
                <w:rFonts w:asciiTheme="minorHAnsi" w:eastAsiaTheme="minorHAnsi" w:hAnsiTheme="minorHAnsi" w:cs="Times New Roman"/>
                <w:sz w:val="22"/>
                <w:lang w:val="es-CL"/>
              </w:rPr>
            </w:pPr>
            <w:r>
              <w:rPr>
                <w:rFonts w:asciiTheme="minorHAnsi" w:eastAsiaTheme="minorHAnsi" w:hAnsiTheme="minorHAnsi" w:cs="Times New Roman"/>
                <w:sz w:val="22"/>
                <w:lang w:val="es-CL"/>
              </w:rPr>
              <w:t>Indefinido</w:t>
            </w:r>
          </w:p>
        </w:tc>
      </w:tr>
    </w:tbl>
    <w:p w14:paraId="4C18B1E8" w14:textId="77777777" w:rsidR="008933CA" w:rsidRDefault="008933CA" w:rsidP="004E70DF">
      <w:pPr>
        <w:pStyle w:val="SBDCManualBody"/>
        <w:rPr>
          <w:rFonts w:asciiTheme="minorHAnsi" w:hAnsiTheme="minorHAnsi" w:cs="Times New Roman"/>
          <w:sz w:val="22"/>
          <w:lang w:val="es-CL"/>
        </w:rPr>
      </w:pPr>
    </w:p>
    <w:tbl>
      <w:tblPr>
        <w:tblStyle w:val="Tablaconcuadrcula"/>
        <w:tblW w:w="0" w:type="auto"/>
        <w:tblLook w:val="04A0" w:firstRow="1" w:lastRow="0" w:firstColumn="1" w:lastColumn="0" w:noHBand="0" w:noVBand="1"/>
      </w:tblPr>
      <w:tblGrid>
        <w:gridCol w:w="2935"/>
        <w:gridCol w:w="2943"/>
        <w:gridCol w:w="2950"/>
      </w:tblGrid>
      <w:tr w:rsidR="00E63470" w14:paraId="1931CFC9" w14:textId="77777777" w:rsidTr="0095454A">
        <w:tc>
          <w:tcPr>
            <w:tcW w:w="8978" w:type="dxa"/>
            <w:gridSpan w:val="3"/>
            <w:shd w:val="clear" w:color="auto" w:fill="A6A6A6" w:themeFill="background1" w:themeFillShade="A6"/>
          </w:tcPr>
          <w:p w14:paraId="6A6E0139" w14:textId="77777777" w:rsidR="00E63470" w:rsidRPr="00E63470" w:rsidRDefault="00E63470" w:rsidP="0095454A">
            <w:pPr>
              <w:rPr>
                <w:b/>
              </w:rPr>
            </w:pPr>
            <w:r>
              <w:rPr>
                <w:b/>
              </w:rPr>
              <w:t>11. Directorio del Centro</w:t>
            </w:r>
            <w:r w:rsidR="00B4188A">
              <w:rPr>
                <w:b/>
              </w:rPr>
              <w:t xml:space="preserve"> </w:t>
            </w:r>
            <w:r w:rsidR="008E000D" w:rsidRPr="008E000D">
              <w:rPr>
                <w:i/>
              </w:rPr>
              <w:t>(indicar el directorio actual del centro)</w:t>
            </w:r>
          </w:p>
        </w:tc>
      </w:tr>
      <w:tr w:rsidR="00E63470" w14:paraId="39B27E1B" w14:textId="77777777" w:rsidTr="00E63470">
        <w:tc>
          <w:tcPr>
            <w:tcW w:w="2992" w:type="dxa"/>
            <w:shd w:val="clear" w:color="auto" w:fill="A6A6A6" w:themeFill="background1" w:themeFillShade="A6"/>
          </w:tcPr>
          <w:p w14:paraId="26FD10F6" w14:textId="77777777" w:rsidR="00E63470" w:rsidRPr="00E63470" w:rsidRDefault="00E63470" w:rsidP="0095454A">
            <w:pPr>
              <w:rPr>
                <w:b/>
              </w:rPr>
            </w:pPr>
            <w:r w:rsidRPr="00E63470">
              <w:rPr>
                <w:b/>
              </w:rPr>
              <w:t>Nombre miembro del directorio</w:t>
            </w:r>
          </w:p>
        </w:tc>
        <w:tc>
          <w:tcPr>
            <w:tcW w:w="2993" w:type="dxa"/>
            <w:shd w:val="clear" w:color="auto" w:fill="A6A6A6" w:themeFill="background1" w:themeFillShade="A6"/>
          </w:tcPr>
          <w:p w14:paraId="55807705" w14:textId="77777777" w:rsidR="00E63470" w:rsidRPr="00E63470" w:rsidRDefault="00E63470" w:rsidP="0095454A">
            <w:pPr>
              <w:rPr>
                <w:b/>
              </w:rPr>
            </w:pPr>
            <w:r w:rsidRPr="00E63470">
              <w:rPr>
                <w:b/>
              </w:rPr>
              <w:t>Entidad que representa</w:t>
            </w:r>
          </w:p>
        </w:tc>
        <w:tc>
          <w:tcPr>
            <w:tcW w:w="2993" w:type="dxa"/>
            <w:shd w:val="clear" w:color="auto" w:fill="A6A6A6" w:themeFill="background1" w:themeFillShade="A6"/>
          </w:tcPr>
          <w:p w14:paraId="3C62E9DC" w14:textId="77777777" w:rsidR="00E63470" w:rsidRPr="00E63470" w:rsidRDefault="00E63470" w:rsidP="0095454A">
            <w:pPr>
              <w:rPr>
                <w:b/>
              </w:rPr>
            </w:pPr>
            <w:r w:rsidRPr="00E63470">
              <w:rPr>
                <w:b/>
              </w:rPr>
              <w:t>Aporte estratégico del socio.</w:t>
            </w:r>
          </w:p>
        </w:tc>
      </w:tr>
      <w:tr w:rsidR="00E63470" w14:paraId="14422B10" w14:textId="77777777" w:rsidTr="00E63470">
        <w:tc>
          <w:tcPr>
            <w:tcW w:w="2992" w:type="dxa"/>
          </w:tcPr>
          <w:p w14:paraId="0F9C9BD7" w14:textId="77777777" w:rsidR="00E63470" w:rsidRDefault="00C843E8" w:rsidP="00E63470">
            <w:pPr>
              <w:pStyle w:val="SBDCManualBody"/>
              <w:spacing w:after="0"/>
              <w:rPr>
                <w:rFonts w:asciiTheme="minorHAnsi" w:hAnsiTheme="minorHAnsi" w:cs="Times New Roman"/>
                <w:sz w:val="22"/>
                <w:lang w:val="es-CL"/>
              </w:rPr>
            </w:pPr>
            <w:r>
              <w:rPr>
                <w:rFonts w:asciiTheme="minorHAnsi" w:hAnsiTheme="minorHAnsi" w:cs="Times New Roman"/>
                <w:sz w:val="22"/>
                <w:lang w:val="es-CL"/>
              </w:rPr>
              <w:t xml:space="preserve">María Teresa Muñoz </w:t>
            </w:r>
          </w:p>
        </w:tc>
        <w:tc>
          <w:tcPr>
            <w:tcW w:w="2993" w:type="dxa"/>
          </w:tcPr>
          <w:p w14:paraId="06134C45" w14:textId="77777777" w:rsidR="00E63470" w:rsidRDefault="00B4188A" w:rsidP="00B4188A">
            <w:pPr>
              <w:pStyle w:val="SBDCManualBody"/>
              <w:spacing w:after="0"/>
              <w:rPr>
                <w:rFonts w:asciiTheme="minorHAnsi" w:hAnsiTheme="minorHAnsi" w:cs="Times New Roman"/>
                <w:sz w:val="22"/>
                <w:lang w:val="es-CL"/>
              </w:rPr>
            </w:pPr>
            <w:r>
              <w:rPr>
                <w:rFonts w:asciiTheme="minorHAnsi" w:hAnsiTheme="minorHAnsi" w:cs="Times New Roman"/>
                <w:sz w:val="22"/>
                <w:lang w:val="es-CL"/>
              </w:rPr>
              <w:t xml:space="preserve">Vicerrectora de  Investigación y Postgrado </w:t>
            </w:r>
            <w:r>
              <w:t xml:space="preserve"> </w:t>
            </w:r>
            <w:r w:rsidR="00C843E8">
              <w:t>Universidad Católica del Maule</w:t>
            </w:r>
            <w:r>
              <w:rPr>
                <w:rFonts w:asciiTheme="minorHAnsi" w:hAnsiTheme="minorHAnsi" w:cs="Times New Roman"/>
                <w:sz w:val="22"/>
                <w:lang w:val="es-CL"/>
              </w:rPr>
              <w:t>.</w:t>
            </w:r>
          </w:p>
        </w:tc>
        <w:tc>
          <w:tcPr>
            <w:tcW w:w="2993" w:type="dxa"/>
          </w:tcPr>
          <w:p w14:paraId="2D619948" w14:textId="77777777" w:rsidR="00E63470" w:rsidRDefault="00B4188A" w:rsidP="00E63470">
            <w:pPr>
              <w:pStyle w:val="SBDCManualBody"/>
              <w:spacing w:after="0"/>
              <w:rPr>
                <w:rFonts w:asciiTheme="minorHAnsi" w:hAnsiTheme="minorHAnsi" w:cs="Times New Roman"/>
                <w:sz w:val="22"/>
                <w:lang w:val="es-CL"/>
              </w:rPr>
            </w:pPr>
            <w:r>
              <w:rPr>
                <w:rFonts w:asciiTheme="minorHAnsi" w:hAnsiTheme="minorHAnsi" w:cs="Times New Roman"/>
                <w:sz w:val="22"/>
                <w:lang w:val="es-CL"/>
              </w:rPr>
              <w:t>Representante del operador, articulación con la Universidad.</w:t>
            </w:r>
          </w:p>
        </w:tc>
      </w:tr>
      <w:tr w:rsidR="00E63470" w14:paraId="05D6F541" w14:textId="77777777" w:rsidTr="00E63470">
        <w:tc>
          <w:tcPr>
            <w:tcW w:w="2992" w:type="dxa"/>
          </w:tcPr>
          <w:p w14:paraId="497AB85D" w14:textId="77777777" w:rsidR="00E63470" w:rsidRDefault="00E454C7" w:rsidP="00E63470">
            <w:pPr>
              <w:pStyle w:val="SBDCManualBody"/>
              <w:spacing w:after="0"/>
              <w:rPr>
                <w:rFonts w:asciiTheme="minorHAnsi" w:hAnsiTheme="minorHAnsi" w:cs="Times New Roman"/>
                <w:sz w:val="22"/>
                <w:lang w:val="es-CL"/>
              </w:rPr>
            </w:pPr>
            <w:r>
              <w:t>Guillermo Peters Rubio</w:t>
            </w:r>
          </w:p>
        </w:tc>
        <w:tc>
          <w:tcPr>
            <w:tcW w:w="2993" w:type="dxa"/>
          </w:tcPr>
          <w:p w14:paraId="03FFA06E" w14:textId="77777777" w:rsidR="00E63470" w:rsidRDefault="00E454C7" w:rsidP="00E63470">
            <w:pPr>
              <w:pStyle w:val="SBDCManualBody"/>
              <w:spacing w:after="0"/>
              <w:rPr>
                <w:rFonts w:asciiTheme="minorHAnsi" w:hAnsiTheme="minorHAnsi" w:cs="Times New Roman"/>
                <w:sz w:val="22"/>
                <w:lang w:val="es-CL"/>
              </w:rPr>
            </w:pPr>
            <w:r>
              <w:rPr>
                <w:b/>
                <w:bCs/>
              </w:rPr>
              <w:t>Cámara de Turismo y comercio de Pelluhue</w:t>
            </w:r>
          </w:p>
        </w:tc>
        <w:tc>
          <w:tcPr>
            <w:tcW w:w="2993" w:type="dxa"/>
          </w:tcPr>
          <w:p w14:paraId="00BA4ADF" w14:textId="77777777" w:rsidR="00E63470" w:rsidRDefault="00E454C7" w:rsidP="00E63470">
            <w:pPr>
              <w:pStyle w:val="SBDCManualBody"/>
              <w:spacing w:after="0"/>
              <w:rPr>
                <w:rFonts w:asciiTheme="minorHAnsi" w:hAnsiTheme="minorHAnsi" w:cs="Times New Roman"/>
                <w:sz w:val="22"/>
                <w:lang w:val="es-CL"/>
              </w:rPr>
            </w:pPr>
            <w:r>
              <w:rPr>
                <w:lang w:val="es-CL"/>
              </w:rPr>
              <w:t>Vinculación</w:t>
            </w:r>
            <w:r>
              <w:t xml:space="preserve"> con la industria turística costera, comunas de Pelluhue y Chanco</w:t>
            </w:r>
          </w:p>
        </w:tc>
      </w:tr>
      <w:tr w:rsidR="00E454C7" w14:paraId="22435BFD" w14:textId="77777777" w:rsidTr="00E63470">
        <w:tc>
          <w:tcPr>
            <w:tcW w:w="2992" w:type="dxa"/>
          </w:tcPr>
          <w:p w14:paraId="228B607C" w14:textId="77777777" w:rsidR="00E454C7" w:rsidRDefault="00E454C7" w:rsidP="00E63470">
            <w:pPr>
              <w:pStyle w:val="SBDCManualBody"/>
              <w:spacing w:after="0"/>
              <w:rPr>
                <w:rFonts w:asciiTheme="minorHAnsi" w:hAnsiTheme="minorHAnsi" w:cs="Times New Roman"/>
                <w:sz w:val="22"/>
                <w:lang w:val="es-CL"/>
              </w:rPr>
            </w:pPr>
            <w:r>
              <w:t>Cesar Valdés Medina</w:t>
            </w:r>
          </w:p>
        </w:tc>
        <w:tc>
          <w:tcPr>
            <w:tcW w:w="2993" w:type="dxa"/>
          </w:tcPr>
          <w:p w14:paraId="580137EA" w14:textId="77777777" w:rsidR="00E454C7" w:rsidRDefault="00E454C7" w:rsidP="00E63470">
            <w:pPr>
              <w:pStyle w:val="SBDCManualBody"/>
              <w:spacing w:after="0"/>
              <w:rPr>
                <w:rFonts w:asciiTheme="minorHAnsi" w:hAnsiTheme="minorHAnsi" w:cs="Times New Roman"/>
                <w:sz w:val="22"/>
                <w:lang w:val="es-CL"/>
              </w:rPr>
            </w:pPr>
            <w:r>
              <w:rPr>
                <w:b/>
                <w:bCs/>
              </w:rPr>
              <w:t>Cámara de Comercio e Industrias de Cauquenes.</w:t>
            </w:r>
          </w:p>
        </w:tc>
        <w:tc>
          <w:tcPr>
            <w:tcW w:w="2993" w:type="dxa"/>
          </w:tcPr>
          <w:p w14:paraId="41CAF5C5" w14:textId="77777777" w:rsidR="00E454C7" w:rsidRDefault="00E454C7" w:rsidP="00B4188A">
            <w:pPr>
              <w:pStyle w:val="Prrafodelista"/>
              <w:ind w:left="0"/>
            </w:pPr>
            <w:r>
              <w:rPr>
                <w:lang w:val="es-CL"/>
              </w:rPr>
              <w:t>Vinculación</w:t>
            </w:r>
            <w:r>
              <w:t xml:space="preserve"> con el comercio detallista y emprendimiento industrial de la Provincia de Cauquenes.</w:t>
            </w:r>
          </w:p>
        </w:tc>
      </w:tr>
      <w:tr w:rsidR="00E454C7" w14:paraId="2F0E38D6" w14:textId="77777777" w:rsidTr="00E63470">
        <w:tc>
          <w:tcPr>
            <w:tcW w:w="2992" w:type="dxa"/>
          </w:tcPr>
          <w:p w14:paraId="0D2CAF16" w14:textId="77777777" w:rsidR="00E454C7" w:rsidRDefault="00E454C7" w:rsidP="00E63470">
            <w:pPr>
              <w:pStyle w:val="SBDCManualBody"/>
              <w:spacing w:after="0"/>
              <w:rPr>
                <w:rFonts w:asciiTheme="minorHAnsi" w:hAnsiTheme="minorHAnsi" w:cs="Times New Roman"/>
                <w:sz w:val="22"/>
                <w:lang w:val="es-CL"/>
              </w:rPr>
            </w:pPr>
            <w:r>
              <w:t>Felipe Zúñiga Peña</w:t>
            </w:r>
          </w:p>
        </w:tc>
        <w:tc>
          <w:tcPr>
            <w:tcW w:w="2993" w:type="dxa"/>
          </w:tcPr>
          <w:p w14:paraId="06459EFC" w14:textId="77777777" w:rsidR="00E454C7" w:rsidRDefault="00E454C7" w:rsidP="00E63470">
            <w:pPr>
              <w:pStyle w:val="SBDCManualBody"/>
              <w:spacing w:after="0"/>
              <w:rPr>
                <w:rFonts w:asciiTheme="minorHAnsi" w:hAnsiTheme="minorHAnsi" w:cs="Times New Roman"/>
                <w:sz w:val="22"/>
                <w:lang w:val="es-CL"/>
              </w:rPr>
            </w:pPr>
            <w:r>
              <w:rPr>
                <w:b/>
                <w:bCs/>
              </w:rPr>
              <w:t>Asociación Gremial Vid Seca</w:t>
            </w:r>
          </w:p>
        </w:tc>
        <w:tc>
          <w:tcPr>
            <w:tcW w:w="2993" w:type="dxa"/>
          </w:tcPr>
          <w:p w14:paraId="37F0E1AB" w14:textId="77777777" w:rsidR="00E454C7" w:rsidRDefault="00E454C7" w:rsidP="00E63470">
            <w:pPr>
              <w:pStyle w:val="SBDCManualBody"/>
              <w:spacing w:after="0"/>
              <w:rPr>
                <w:rFonts w:asciiTheme="minorHAnsi" w:hAnsiTheme="minorHAnsi" w:cs="Times New Roman"/>
                <w:sz w:val="22"/>
                <w:lang w:val="es-CL"/>
              </w:rPr>
            </w:pPr>
            <w:r>
              <w:t xml:space="preserve">Vinculación </w:t>
            </w:r>
            <w:commentRangeStart w:id="14"/>
            <w:r>
              <w:t>con</w:t>
            </w:r>
            <w:commentRangeEnd w:id="14"/>
            <w:r w:rsidR="00B825C7">
              <w:rPr>
                <w:rStyle w:val="Refdecomentario"/>
                <w:rFonts w:asciiTheme="minorHAnsi" w:eastAsiaTheme="minorHAnsi" w:hAnsiTheme="minorHAnsi" w:cstheme="minorBidi"/>
                <w:lang w:val="es-CL"/>
              </w:rPr>
              <w:commentReference w:id="14"/>
            </w:r>
            <w:r>
              <w:t xml:space="preserve"> los productores locales de vino y de vid vinífera.</w:t>
            </w:r>
          </w:p>
        </w:tc>
      </w:tr>
      <w:tr w:rsidR="00E454C7" w14:paraId="52812FC2" w14:textId="77777777" w:rsidTr="00E63470">
        <w:tc>
          <w:tcPr>
            <w:tcW w:w="2992" w:type="dxa"/>
          </w:tcPr>
          <w:p w14:paraId="4FA729CE" w14:textId="77777777" w:rsidR="00E454C7" w:rsidRDefault="00E454C7" w:rsidP="00E63470">
            <w:pPr>
              <w:pStyle w:val="SBDCManualBody"/>
              <w:spacing w:after="0"/>
              <w:rPr>
                <w:rFonts w:asciiTheme="minorHAnsi" w:hAnsiTheme="minorHAnsi" w:cs="Times New Roman"/>
                <w:sz w:val="22"/>
                <w:lang w:val="es-CL"/>
              </w:rPr>
            </w:pPr>
            <w:r>
              <w:lastRenderedPageBreak/>
              <w:t>Edmundo Aravena Jaque</w:t>
            </w:r>
          </w:p>
        </w:tc>
        <w:tc>
          <w:tcPr>
            <w:tcW w:w="2993" w:type="dxa"/>
          </w:tcPr>
          <w:p w14:paraId="5AFBA94A" w14:textId="77777777" w:rsidR="00E454C7" w:rsidRDefault="00C843E8" w:rsidP="00E63470">
            <w:pPr>
              <w:pStyle w:val="SBDCManualBody"/>
              <w:spacing w:after="0"/>
              <w:rPr>
                <w:rFonts w:asciiTheme="minorHAnsi" w:hAnsiTheme="minorHAnsi" w:cs="Times New Roman"/>
                <w:sz w:val="22"/>
                <w:lang w:val="es-CL"/>
              </w:rPr>
            </w:pPr>
            <w:r>
              <w:rPr>
                <w:b/>
                <w:bCs/>
              </w:rPr>
              <w:t>Asociación de regantes de Tutuven</w:t>
            </w:r>
          </w:p>
        </w:tc>
        <w:tc>
          <w:tcPr>
            <w:tcW w:w="2993" w:type="dxa"/>
          </w:tcPr>
          <w:p w14:paraId="039A537A" w14:textId="77777777" w:rsidR="00E454C7" w:rsidRDefault="00C843E8" w:rsidP="00E63470">
            <w:pPr>
              <w:pStyle w:val="SBDCManualBody"/>
              <w:spacing w:after="0"/>
              <w:rPr>
                <w:rFonts w:asciiTheme="minorHAnsi" w:hAnsiTheme="minorHAnsi" w:cs="Times New Roman"/>
                <w:sz w:val="22"/>
                <w:lang w:val="es-CL"/>
              </w:rPr>
            </w:pPr>
            <w:r>
              <w:t>Relación con los intereses del sector agrícola de la Provincia de Cauquenes.</w:t>
            </w:r>
          </w:p>
        </w:tc>
      </w:tr>
      <w:tr w:rsidR="00E454C7" w14:paraId="4AF35628" w14:textId="77777777" w:rsidTr="00E63470">
        <w:tc>
          <w:tcPr>
            <w:tcW w:w="2992" w:type="dxa"/>
          </w:tcPr>
          <w:p w14:paraId="41120768" w14:textId="77777777" w:rsidR="00E454C7" w:rsidRDefault="00E454C7" w:rsidP="00E63470">
            <w:pPr>
              <w:pStyle w:val="SBDCManualBody"/>
              <w:spacing w:after="0"/>
              <w:rPr>
                <w:rFonts w:asciiTheme="minorHAnsi" w:hAnsiTheme="minorHAnsi" w:cs="Times New Roman"/>
                <w:sz w:val="22"/>
                <w:lang w:val="es-CL"/>
              </w:rPr>
            </w:pPr>
          </w:p>
        </w:tc>
        <w:tc>
          <w:tcPr>
            <w:tcW w:w="2993" w:type="dxa"/>
          </w:tcPr>
          <w:p w14:paraId="6BB30A21" w14:textId="77777777" w:rsidR="00E454C7" w:rsidRDefault="00E454C7" w:rsidP="00E63470">
            <w:pPr>
              <w:pStyle w:val="SBDCManualBody"/>
              <w:spacing w:after="0"/>
              <w:rPr>
                <w:rFonts w:asciiTheme="minorHAnsi" w:hAnsiTheme="minorHAnsi" w:cs="Times New Roman"/>
                <w:sz w:val="22"/>
                <w:lang w:val="es-CL"/>
              </w:rPr>
            </w:pPr>
          </w:p>
        </w:tc>
        <w:tc>
          <w:tcPr>
            <w:tcW w:w="2993" w:type="dxa"/>
          </w:tcPr>
          <w:p w14:paraId="4E987CAA" w14:textId="77777777" w:rsidR="00E454C7" w:rsidRDefault="00E454C7" w:rsidP="00E63470">
            <w:pPr>
              <w:pStyle w:val="SBDCManualBody"/>
              <w:spacing w:after="0"/>
              <w:rPr>
                <w:rFonts w:asciiTheme="minorHAnsi" w:hAnsiTheme="minorHAnsi" w:cs="Times New Roman"/>
                <w:sz w:val="22"/>
                <w:lang w:val="es-CL"/>
              </w:rPr>
            </w:pPr>
          </w:p>
        </w:tc>
      </w:tr>
    </w:tbl>
    <w:p w14:paraId="743D128C" w14:textId="77777777" w:rsidR="00E63470" w:rsidRDefault="00E63470" w:rsidP="004E70DF">
      <w:pPr>
        <w:pStyle w:val="SBDCManualBody"/>
        <w:rPr>
          <w:rFonts w:asciiTheme="minorHAnsi" w:hAnsiTheme="minorHAnsi" w:cs="Times New Roman"/>
          <w:sz w:val="22"/>
          <w:lang w:val="es-CL"/>
        </w:rPr>
      </w:pPr>
    </w:p>
    <w:p w14:paraId="65FD72C7" w14:textId="77777777" w:rsidR="00B4188A" w:rsidRDefault="00B4188A" w:rsidP="004E70DF">
      <w:pPr>
        <w:pStyle w:val="SBDCManualBody"/>
        <w:rPr>
          <w:rFonts w:asciiTheme="minorHAnsi" w:hAnsiTheme="minorHAnsi" w:cs="Times New Roman"/>
          <w:sz w:val="22"/>
          <w:lang w:val="es-CL"/>
        </w:rPr>
      </w:pPr>
    </w:p>
    <w:p w14:paraId="4729281D" w14:textId="77777777" w:rsidR="00B4188A" w:rsidRDefault="00B4188A" w:rsidP="004E70DF">
      <w:pPr>
        <w:pStyle w:val="SBDCManualBody"/>
        <w:rPr>
          <w:rFonts w:asciiTheme="minorHAnsi" w:hAnsiTheme="minorHAnsi" w:cs="Times New Roman"/>
          <w:sz w:val="22"/>
          <w:lang w:val="es-CL"/>
        </w:rPr>
      </w:pPr>
    </w:p>
    <w:tbl>
      <w:tblPr>
        <w:tblStyle w:val="Tablaconcuadrcula"/>
        <w:tblW w:w="0" w:type="auto"/>
        <w:tblLook w:val="04A0" w:firstRow="1" w:lastRow="0" w:firstColumn="1" w:lastColumn="0" w:noHBand="0" w:noVBand="1"/>
      </w:tblPr>
      <w:tblGrid>
        <w:gridCol w:w="2478"/>
        <w:gridCol w:w="2099"/>
        <w:gridCol w:w="4251"/>
      </w:tblGrid>
      <w:tr w:rsidR="008E000D" w14:paraId="19CF4D55" w14:textId="77777777" w:rsidTr="0095454A">
        <w:tc>
          <w:tcPr>
            <w:tcW w:w="9039" w:type="dxa"/>
            <w:gridSpan w:val="3"/>
            <w:shd w:val="clear" w:color="auto" w:fill="A6A6A6" w:themeFill="background1" w:themeFillShade="A6"/>
          </w:tcPr>
          <w:p w14:paraId="10F4C8FD" w14:textId="77777777" w:rsidR="008E000D" w:rsidRPr="00E63470" w:rsidRDefault="008E000D" w:rsidP="0095454A">
            <w:pPr>
              <w:rPr>
                <w:b/>
              </w:rPr>
            </w:pPr>
            <w:r>
              <w:rPr>
                <w:b/>
              </w:rPr>
              <w:t xml:space="preserve">12. Aportes de los socios para el próximo período </w:t>
            </w:r>
            <w:r w:rsidRPr="008E000D">
              <w:rPr>
                <w:i/>
              </w:rPr>
              <w:t>(debe coincidir con la planilla de presupuesto)</w:t>
            </w:r>
          </w:p>
        </w:tc>
      </w:tr>
      <w:tr w:rsidR="00E63470" w14:paraId="7BEFF6C8" w14:textId="77777777" w:rsidTr="00E63470">
        <w:tc>
          <w:tcPr>
            <w:tcW w:w="2518" w:type="dxa"/>
            <w:shd w:val="clear" w:color="auto" w:fill="A6A6A6" w:themeFill="background1" w:themeFillShade="A6"/>
          </w:tcPr>
          <w:p w14:paraId="40D66AEE" w14:textId="77777777" w:rsidR="00E63470" w:rsidRPr="00E63470" w:rsidRDefault="00E63470" w:rsidP="0095454A">
            <w:pPr>
              <w:rPr>
                <w:b/>
              </w:rPr>
            </w:pPr>
            <w:r w:rsidRPr="00E63470">
              <w:rPr>
                <w:b/>
              </w:rPr>
              <w:t xml:space="preserve">Nombre del socio </w:t>
            </w:r>
          </w:p>
        </w:tc>
        <w:tc>
          <w:tcPr>
            <w:tcW w:w="2126" w:type="dxa"/>
            <w:shd w:val="clear" w:color="auto" w:fill="A6A6A6" w:themeFill="background1" w:themeFillShade="A6"/>
          </w:tcPr>
          <w:p w14:paraId="7CD0F703" w14:textId="77777777" w:rsidR="00E63470" w:rsidRPr="00E63470" w:rsidRDefault="00E63470" w:rsidP="0095454A">
            <w:pPr>
              <w:rPr>
                <w:b/>
              </w:rPr>
            </w:pPr>
            <w:r w:rsidRPr="00E63470">
              <w:rPr>
                <w:b/>
              </w:rPr>
              <w:t>Valor aporte comprometido $</w:t>
            </w:r>
          </w:p>
        </w:tc>
        <w:tc>
          <w:tcPr>
            <w:tcW w:w="4395" w:type="dxa"/>
            <w:shd w:val="clear" w:color="auto" w:fill="A6A6A6" w:themeFill="background1" w:themeFillShade="A6"/>
          </w:tcPr>
          <w:p w14:paraId="77A12406" w14:textId="77777777" w:rsidR="00E63470" w:rsidRPr="00E63470" w:rsidRDefault="00E63470" w:rsidP="0095454A">
            <w:pPr>
              <w:rPr>
                <w:b/>
              </w:rPr>
            </w:pPr>
            <w:r w:rsidRPr="00E63470">
              <w:rPr>
                <w:b/>
              </w:rPr>
              <w:t>Detalle del aporte ( descripción breve)</w:t>
            </w:r>
          </w:p>
        </w:tc>
      </w:tr>
      <w:tr w:rsidR="00B4188A" w14:paraId="3DA77F16" w14:textId="77777777" w:rsidTr="00B4188A">
        <w:tc>
          <w:tcPr>
            <w:tcW w:w="2518" w:type="dxa"/>
          </w:tcPr>
          <w:p w14:paraId="3FDB598E" w14:textId="77777777" w:rsidR="00B4188A" w:rsidRDefault="00B4188A" w:rsidP="00E63470">
            <w:pPr>
              <w:pStyle w:val="SBDCManualBody"/>
              <w:spacing w:after="0"/>
              <w:rPr>
                <w:rFonts w:asciiTheme="minorHAnsi" w:hAnsiTheme="minorHAnsi" w:cs="Times New Roman"/>
                <w:sz w:val="22"/>
                <w:lang w:val="es-CL"/>
              </w:rPr>
            </w:pPr>
            <w:bookmarkStart w:id="15" w:name="_GoBack" w:colFirst="0" w:colLast="2"/>
            <w:r>
              <w:rPr>
                <w:rFonts w:asciiTheme="minorHAnsi" w:hAnsiTheme="minorHAnsi" w:cs="Times New Roman"/>
                <w:sz w:val="22"/>
                <w:lang w:val="es-CL"/>
              </w:rPr>
              <w:t>Servicio de Impuestos Internos</w:t>
            </w:r>
          </w:p>
        </w:tc>
        <w:tc>
          <w:tcPr>
            <w:tcW w:w="2126" w:type="dxa"/>
            <w:vAlign w:val="bottom"/>
          </w:tcPr>
          <w:p w14:paraId="5D078303" w14:textId="77777777" w:rsidR="00B4188A" w:rsidRDefault="00B4188A" w:rsidP="00B4188A">
            <w:pPr>
              <w:pStyle w:val="Prrafodelista"/>
              <w:spacing w:line="252" w:lineRule="auto"/>
              <w:ind w:left="0"/>
            </w:pPr>
            <w:r>
              <w:t>$ 720.000</w:t>
            </w:r>
          </w:p>
        </w:tc>
        <w:tc>
          <w:tcPr>
            <w:tcW w:w="4395" w:type="dxa"/>
          </w:tcPr>
          <w:p w14:paraId="0439EF8C" w14:textId="77777777" w:rsidR="00B4188A" w:rsidRDefault="00B4188A" w:rsidP="00B4188A">
            <w:pPr>
              <w:jc w:val="both"/>
              <w:rPr>
                <w:rFonts w:ascii="Times New Roman" w:eastAsia="Times New Roman" w:hAnsi="Times New Roman"/>
                <w:sz w:val="20"/>
                <w:szCs w:val="20"/>
                <w:lang w:eastAsia="es-CL"/>
              </w:rPr>
            </w:pPr>
            <w:r>
              <w:rPr>
                <w:rFonts w:ascii="Times New Roman" w:eastAsia="Times New Roman" w:hAnsi="Times New Roman"/>
                <w:sz w:val="20"/>
                <w:szCs w:val="20"/>
                <w:lang w:eastAsia="es-CL"/>
              </w:rPr>
              <w:t>Charlista para asesorías especializadas. Al menos 1 vez al mes en distintas comunas. (Chanco, Empedrado, Pelluhue, Cauquenes).</w:t>
            </w:r>
          </w:p>
        </w:tc>
      </w:tr>
      <w:tr w:rsidR="00B4188A" w14:paraId="7A0542D6" w14:textId="77777777" w:rsidTr="00B4188A">
        <w:tc>
          <w:tcPr>
            <w:tcW w:w="2518" w:type="dxa"/>
            <w:vAlign w:val="bottom"/>
          </w:tcPr>
          <w:p w14:paraId="5DC355CB" w14:textId="77777777" w:rsidR="00B4188A" w:rsidRDefault="00B4188A" w:rsidP="00B4188A">
            <w:pPr>
              <w:pStyle w:val="Prrafodelista"/>
              <w:spacing w:line="252" w:lineRule="auto"/>
              <w:ind w:left="0"/>
            </w:pPr>
            <w:r>
              <w:t xml:space="preserve">Municipalidades Chanco, Pelluhue, empedrado y Gobernación </w:t>
            </w:r>
          </w:p>
        </w:tc>
        <w:tc>
          <w:tcPr>
            <w:tcW w:w="2126" w:type="dxa"/>
          </w:tcPr>
          <w:p w14:paraId="29BF2EAE" w14:textId="77777777" w:rsidR="00B4188A" w:rsidRDefault="00B4188A" w:rsidP="00E63470">
            <w:pPr>
              <w:pStyle w:val="SBDCManualBody"/>
              <w:spacing w:after="0"/>
              <w:rPr>
                <w:rFonts w:asciiTheme="minorHAnsi" w:hAnsiTheme="minorHAnsi" w:cs="Times New Roman"/>
                <w:sz w:val="22"/>
                <w:lang w:val="es-CL"/>
              </w:rPr>
            </w:pPr>
            <w:r>
              <w:t>$ 1.120.000</w:t>
            </w:r>
          </w:p>
        </w:tc>
        <w:tc>
          <w:tcPr>
            <w:tcW w:w="4395" w:type="dxa"/>
          </w:tcPr>
          <w:p w14:paraId="266E8C33" w14:textId="77777777" w:rsidR="00B4188A" w:rsidRDefault="00B4188A" w:rsidP="00E63470">
            <w:pPr>
              <w:pStyle w:val="SBDCManualBody"/>
              <w:spacing w:after="0"/>
              <w:rPr>
                <w:rFonts w:asciiTheme="minorHAnsi" w:hAnsiTheme="minorHAnsi" w:cs="Times New Roman"/>
                <w:sz w:val="22"/>
                <w:lang w:val="es-CL"/>
              </w:rPr>
            </w:pPr>
          </w:p>
        </w:tc>
      </w:tr>
      <w:bookmarkEnd w:id="15"/>
      <w:tr w:rsidR="00B4188A" w14:paraId="0F86BD94" w14:textId="77777777" w:rsidTr="00E63470">
        <w:tc>
          <w:tcPr>
            <w:tcW w:w="2518" w:type="dxa"/>
          </w:tcPr>
          <w:p w14:paraId="36E2026E" w14:textId="77777777" w:rsidR="00B4188A" w:rsidRDefault="00B4188A" w:rsidP="00E63470">
            <w:pPr>
              <w:pStyle w:val="SBDCManualBody"/>
              <w:spacing w:after="0"/>
              <w:rPr>
                <w:rFonts w:asciiTheme="minorHAnsi" w:hAnsiTheme="minorHAnsi" w:cs="Times New Roman"/>
                <w:sz w:val="22"/>
                <w:lang w:val="es-CL"/>
              </w:rPr>
            </w:pPr>
          </w:p>
        </w:tc>
        <w:tc>
          <w:tcPr>
            <w:tcW w:w="2126" w:type="dxa"/>
          </w:tcPr>
          <w:p w14:paraId="17840503" w14:textId="77777777" w:rsidR="00B4188A" w:rsidRDefault="00B4188A" w:rsidP="00E63470">
            <w:pPr>
              <w:pStyle w:val="SBDCManualBody"/>
              <w:spacing w:after="0"/>
              <w:rPr>
                <w:rFonts w:asciiTheme="minorHAnsi" w:hAnsiTheme="minorHAnsi" w:cs="Times New Roman"/>
                <w:sz w:val="22"/>
                <w:lang w:val="es-CL"/>
              </w:rPr>
            </w:pPr>
          </w:p>
        </w:tc>
        <w:tc>
          <w:tcPr>
            <w:tcW w:w="4395" w:type="dxa"/>
          </w:tcPr>
          <w:p w14:paraId="3EC10FC5" w14:textId="77777777" w:rsidR="00B4188A" w:rsidRDefault="00B825C7" w:rsidP="00E63470">
            <w:pPr>
              <w:pStyle w:val="SBDCManualBody"/>
              <w:spacing w:after="0"/>
              <w:rPr>
                <w:rFonts w:asciiTheme="minorHAnsi" w:hAnsiTheme="minorHAnsi" w:cs="Times New Roman"/>
                <w:sz w:val="22"/>
                <w:lang w:val="es-CL"/>
              </w:rPr>
            </w:pPr>
            <w:r>
              <w:rPr>
                <w:rStyle w:val="Refdecomentario"/>
                <w:rFonts w:asciiTheme="minorHAnsi" w:eastAsiaTheme="minorHAnsi" w:hAnsiTheme="minorHAnsi" w:cstheme="minorBidi"/>
                <w:lang w:val="es-CL"/>
              </w:rPr>
              <w:commentReference w:id="16"/>
            </w:r>
          </w:p>
        </w:tc>
      </w:tr>
      <w:tr w:rsidR="00B4188A" w14:paraId="1A640D07" w14:textId="77777777" w:rsidTr="00E63470">
        <w:tc>
          <w:tcPr>
            <w:tcW w:w="2518" w:type="dxa"/>
          </w:tcPr>
          <w:p w14:paraId="3F239568" w14:textId="77777777" w:rsidR="00B4188A" w:rsidRDefault="00B4188A" w:rsidP="00E63470">
            <w:pPr>
              <w:pStyle w:val="SBDCManualBody"/>
              <w:spacing w:after="0"/>
              <w:rPr>
                <w:rFonts w:asciiTheme="minorHAnsi" w:hAnsiTheme="minorHAnsi" w:cs="Times New Roman"/>
                <w:sz w:val="22"/>
                <w:lang w:val="es-CL"/>
              </w:rPr>
            </w:pPr>
          </w:p>
        </w:tc>
        <w:tc>
          <w:tcPr>
            <w:tcW w:w="2126" w:type="dxa"/>
          </w:tcPr>
          <w:p w14:paraId="53278AED" w14:textId="77777777" w:rsidR="00B4188A" w:rsidRDefault="00B4188A" w:rsidP="00E63470">
            <w:pPr>
              <w:pStyle w:val="SBDCManualBody"/>
              <w:spacing w:after="0"/>
              <w:rPr>
                <w:rFonts w:asciiTheme="minorHAnsi" w:hAnsiTheme="minorHAnsi" w:cs="Times New Roman"/>
                <w:sz w:val="22"/>
                <w:lang w:val="es-CL"/>
              </w:rPr>
            </w:pPr>
          </w:p>
        </w:tc>
        <w:tc>
          <w:tcPr>
            <w:tcW w:w="4395" w:type="dxa"/>
          </w:tcPr>
          <w:p w14:paraId="2F097F44" w14:textId="77777777" w:rsidR="00B4188A" w:rsidRDefault="00B4188A" w:rsidP="00E63470">
            <w:pPr>
              <w:pStyle w:val="SBDCManualBody"/>
              <w:spacing w:after="0"/>
              <w:rPr>
                <w:rFonts w:asciiTheme="minorHAnsi" w:hAnsiTheme="minorHAnsi" w:cs="Times New Roman"/>
                <w:sz w:val="22"/>
                <w:lang w:val="es-CL"/>
              </w:rPr>
            </w:pPr>
          </w:p>
        </w:tc>
      </w:tr>
      <w:tr w:rsidR="00B4188A" w14:paraId="13E7BF51" w14:textId="77777777" w:rsidTr="0095454A">
        <w:tc>
          <w:tcPr>
            <w:tcW w:w="2518" w:type="dxa"/>
          </w:tcPr>
          <w:p w14:paraId="0B54774D" w14:textId="77777777" w:rsidR="00B4188A" w:rsidRPr="008E000D" w:rsidRDefault="00B4188A" w:rsidP="00E63470">
            <w:pPr>
              <w:pStyle w:val="SBDCManualBody"/>
              <w:spacing w:after="0"/>
              <w:rPr>
                <w:rFonts w:asciiTheme="minorHAnsi" w:hAnsiTheme="minorHAnsi" w:cs="Times New Roman"/>
                <w:sz w:val="22"/>
                <w:lang w:val="es-CL"/>
              </w:rPr>
            </w:pPr>
            <w:r w:rsidRPr="008E000D">
              <w:rPr>
                <w:rFonts w:asciiTheme="minorHAnsi" w:hAnsiTheme="minorHAnsi" w:cs="Times New Roman"/>
                <w:sz w:val="22"/>
                <w:lang w:val="es-CL"/>
              </w:rPr>
              <w:t>TOTAL</w:t>
            </w:r>
          </w:p>
        </w:tc>
        <w:tc>
          <w:tcPr>
            <w:tcW w:w="6521" w:type="dxa"/>
            <w:gridSpan w:val="2"/>
          </w:tcPr>
          <w:p w14:paraId="42716977" w14:textId="77777777" w:rsidR="00B4188A" w:rsidRPr="008E000D" w:rsidRDefault="00B4188A" w:rsidP="00E63470">
            <w:pPr>
              <w:pStyle w:val="SBDCManualBody"/>
              <w:spacing w:after="0"/>
              <w:rPr>
                <w:rFonts w:asciiTheme="minorHAnsi" w:hAnsiTheme="minorHAnsi" w:cs="Times New Roman"/>
                <w:sz w:val="22"/>
                <w:lang w:val="es-CL"/>
              </w:rPr>
            </w:pPr>
          </w:p>
        </w:tc>
      </w:tr>
    </w:tbl>
    <w:p w14:paraId="3CA34C09" w14:textId="77777777" w:rsidR="00E63470" w:rsidRDefault="00E63470" w:rsidP="004E70DF">
      <w:pPr>
        <w:pStyle w:val="SBDCManualBody"/>
        <w:rPr>
          <w:rFonts w:asciiTheme="minorHAnsi" w:hAnsiTheme="minorHAnsi" w:cs="Times New Roman"/>
          <w:sz w:val="22"/>
          <w:lang w:val="es-CL"/>
        </w:rPr>
      </w:pPr>
    </w:p>
    <w:tbl>
      <w:tblPr>
        <w:tblStyle w:val="Tablaconcuadrcula"/>
        <w:tblW w:w="0" w:type="auto"/>
        <w:tblLook w:val="04A0" w:firstRow="1" w:lastRow="0" w:firstColumn="1" w:lastColumn="0" w:noHBand="0" w:noVBand="1"/>
      </w:tblPr>
      <w:tblGrid>
        <w:gridCol w:w="2518"/>
        <w:gridCol w:w="6310"/>
      </w:tblGrid>
      <w:tr w:rsidR="008933CA" w:rsidRPr="001852ED" w14:paraId="3622A62F" w14:textId="77777777" w:rsidTr="00E63470">
        <w:trPr>
          <w:trHeight w:val="1363"/>
        </w:trPr>
        <w:tc>
          <w:tcPr>
            <w:tcW w:w="2518" w:type="dxa"/>
            <w:noWrap/>
            <w:hideMark/>
          </w:tcPr>
          <w:p w14:paraId="5FA8C54B" w14:textId="77777777" w:rsidR="008933CA" w:rsidRPr="001852ED" w:rsidRDefault="00E63470" w:rsidP="0095454A">
            <w:pPr>
              <w:rPr>
                <w:b/>
                <w:bCs/>
              </w:rPr>
            </w:pPr>
            <w:r>
              <w:rPr>
                <w:b/>
                <w:bCs/>
              </w:rPr>
              <w:t>13</w:t>
            </w:r>
            <w:r w:rsidR="008933CA">
              <w:rPr>
                <w:b/>
                <w:bCs/>
              </w:rPr>
              <w:t>.</w:t>
            </w:r>
            <w:r w:rsidR="008933CA" w:rsidRPr="001852ED">
              <w:rPr>
                <w:b/>
                <w:bCs/>
              </w:rPr>
              <w:t xml:space="preserve"> Conclusiones  </w:t>
            </w:r>
          </w:p>
        </w:tc>
        <w:tc>
          <w:tcPr>
            <w:tcW w:w="6536" w:type="dxa"/>
          </w:tcPr>
          <w:p w14:paraId="68A5A7C9" w14:textId="77777777" w:rsidR="008933CA" w:rsidRPr="001852ED" w:rsidRDefault="007C4E3C" w:rsidP="0095454A">
            <w:pPr>
              <w:jc w:val="both"/>
            </w:pPr>
            <w:r>
              <w:t>Se debe tener en cuenta que por la naturaleza del territorio (zona denominada como de rezago de acuerdo a su desempeño económico) el Centro trabaja en un contexto de bajo desarrollo del ecosistema empresarial, siendo, además, en el caso de la Comuna de Empedrado, de alto analfabetismo y bajo acceso en general a las Tecnologías de la Información, lo que dificulta el desempeño del Centro.</w:t>
            </w:r>
          </w:p>
        </w:tc>
      </w:tr>
      <w:tr w:rsidR="008933CA" w:rsidRPr="001852ED" w14:paraId="3970052F" w14:textId="77777777" w:rsidTr="00E63470">
        <w:trPr>
          <w:trHeight w:val="1412"/>
        </w:trPr>
        <w:tc>
          <w:tcPr>
            <w:tcW w:w="2518" w:type="dxa"/>
            <w:noWrap/>
            <w:hideMark/>
          </w:tcPr>
          <w:p w14:paraId="6A4E1C95" w14:textId="77777777" w:rsidR="008933CA" w:rsidRPr="001852ED" w:rsidRDefault="00E63470" w:rsidP="0095454A">
            <w:pPr>
              <w:rPr>
                <w:b/>
                <w:bCs/>
              </w:rPr>
            </w:pPr>
            <w:r>
              <w:rPr>
                <w:b/>
                <w:bCs/>
              </w:rPr>
              <w:t>14</w:t>
            </w:r>
            <w:r w:rsidR="008933CA">
              <w:rPr>
                <w:b/>
                <w:bCs/>
              </w:rPr>
              <w:t>.</w:t>
            </w:r>
            <w:r w:rsidR="008933CA" w:rsidRPr="001852ED">
              <w:rPr>
                <w:b/>
                <w:bCs/>
              </w:rPr>
              <w:t xml:space="preserve"> Recomendaciones.</w:t>
            </w:r>
          </w:p>
        </w:tc>
        <w:tc>
          <w:tcPr>
            <w:tcW w:w="6536" w:type="dxa"/>
          </w:tcPr>
          <w:p w14:paraId="51AB7338" w14:textId="77777777" w:rsidR="008933CA" w:rsidRPr="001852ED" w:rsidRDefault="007C4E3C" w:rsidP="0095454A">
            <w:pPr>
              <w:jc w:val="both"/>
            </w:pPr>
            <w:r>
              <w:t>Se sugiere un crecimiento moderado (10%) en el número de clientes para el siguiente período, de manera de mantener e incrementar el estándar de asesoría de alto</w:t>
            </w:r>
            <w:r w:rsidR="0006795F">
              <w:t xml:space="preserve"> valor que permita la creación de</w:t>
            </w:r>
            <w:r>
              <w:t xml:space="preserve"> impacto</w:t>
            </w:r>
            <w:r w:rsidR="0006795F">
              <w:t xml:space="preserve"> económico en los términos propuestos.</w:t>
            </w:r>
          </w:p>
        </w:tc>
      </w:tr>
    </w:tbl>
    <w:p w14:paraId="1983ADC0" w14:textId="77777777" w:rsidR="008933CA" w:rsidRDefault="008933CA" w:rsidP="004E70DF">
      <w:pPr>
        <w:pStyle w:val="SBDCManualBody"/>
        <w:rPr>
          <w:rFonts w:asciiTheme="minorHAnsi" w:hAnsiTheme="minorHAnsi" w:cs="Times New Roman"/>
          <w:sz w:val="22"/>
          <w:lang w:val="es-CL"/>
        </w:rPr>
      </w:pPr>
    </w:p>
    <w:p w14:paraId="6BAD51C6" w14:textId="77777777" w:rsidR="008933CA" w:rsidRPr="00C14A6F" w:rsidRDefault="008933CA" w:rsidP="004E70DF">
      <w:pPr>
        <w:pStyle w:val="SBDCManualBody"/>
        <w:rPr>
          <w:rFonts w:asciiTheme="minorHAnsi" w:hAnsiTheme="minorHAnsi" w:cs="Times New Roman"/>
          <w:sz w:val="22"/>
          <w:lang w:val="es-CL"/>
        </w:rPr>
      </w:pPr>
    </w:p>
    <w:p w14:paraId="73270D84" w14:textId="77777777" w:rsidR="00E80F74" w:rsidRPr="00C14A6F" w:rsidRDefault="00E80F74" w:rsidP="004E70DF">
      <w:pPr>
        <w:pStyle w:val="SBDCManualBody"/>
        <w:rPr>
          <w:rFonts w:asciiTheme="minorHAnsi" w:hAnsiTheme="minorHAnsi" w:cs="Times New Roman"/>
          <w:b/>
          <w:sz w:val="22"/>
          <w:u w:val="single"/>
          <w:lang w:val="es-CL"/>
        </w:rPr>
      </w:pPr>
      <w:r w:rsidRPr="00C14A6F">
        <w:rPr>
          <w:rFonts w:asciiTheme="minorHAnsi" w:hAnsiTheme="minorHAnsi" w:cs="Times New Roman"/>
          <w:b/>
          <w:sz w:val="22"/>
          <w:u w:val="single"/>
          <w:lang w:val="es-CL"/>
        </w:rPr>
        <w:lastRenderedPageBreak/>
        <w:t xml:space="preserve">Observaciones: </w:t>
      </w:r>
    </w:p>
    <w:p w14:paraId="3C3E7312" w14:textId="77777777" w:rsidR="00E80F74" w:rsidRPr="00C14A6F" w:rsidRDefault="00D51406" w:rsidP="004E70DF">
      <w:pPr>
        <w:pStyle w:val="SBDCManualBody"/>
        <w:rPr>
          <w:rFonts w:asciiTheme="minorHAnsi" w:hAnsiTheme="minorHAnsi" w:cs="Times New Roman"/>
          <w:sz w:val="22"/>
          <w:lang w:val="es-CL"/>
        </w:rPr>
      </w:pPr>
      <w:r>
        <w:rPr>
          <w:rFonts w:asciiTheme="minorHAnsi" w:hAnsiTheme="minorHAnsi" w:cs="Times New Roman"/>
          <w:sz w:val="22"/>
          <w:lang w:val="es-CL"/>
        </w:rPr>
        <w:t>Las propuestas de la meta serán evaluadas pudiendo mantenerse o variar.</w:t>
      </w:r>
    </w:p>
    <w:p w14:paraId="42D14597" w14:textId="77777777" w:rsidR="00D51406" w:rsidRDefault="00D51406">
      <w:pPr>
        <w:rPr>
          <w:rFonts w:eastAsia="Times New Roman" w:cs="Times New Roman"/>
        </w:rPr>
      </w:pPr>
      <w:r>
        <w:rPr>
          <w:rFonts w:eastAsia="Times New Roman" w:cs="Times New Roman"/>
        </w:rPr>
        <w:br w:type="page"/>
      </w:r>
    </w:p>
    <w:p w14:paraId="716799B4" w14:textId="77777777" w:rsidR="008C7876" w:rsidRPr="00C14A6F" w:rsidRDefault="008E000D" w:rsidP="008E000D">
      <w:pPr>
        <w:pStyle w:val="SBDCManualBody"/>
        <w:rPr>
          <w:rFonts w:asciiTheme="minorHAnsi" w:hAnsiTheme="minorHAnsi" w:cs="Times New Roman"/>
          <w:b/>
          <w:sz w:val="22"/>
        </w:rPr>
      </w:pPr>
      <w:r>
        <w:rPr>
          <w:rFonts w:asciiTheme="minorHAnsi" w:hAnsiTheme="minorHAnsi" w:cs="Times New Roman"/>
          <w:b/>
          <w:sz w:val="22"/>
        </w:rPr>
        <w:lastRenderedPageBreak/>
        <w:t xml:space="preserve">Anexo 1 </w:t>
      </w:r>
      <w:r w:rsidR="00084EA0" w:rsidRPr="00C14A6F">
        <w:rPr>
          <w:rFonts w:asciiTheme="minorHAnsi" w:hAnsiTheme="minorHAnsi" w:cs="Times New Roman"/>
          <w:b/>
          <w:sz w:val="22"/>
        </w:rPr>
        <w:t>MAPA ESTRATÉGICO</w:t>
      </w:r>
    </w:p>
    <w:p w14:paraId="2E808527" w14:textId="77777777" w:rsidR="004E70DF" w:rsidRDefault="00BE2E95" w:rsidP="00084EA0">
      <w:pPr>
        <w:pStyle w:val="SBDCManualBody"/>
        <w:rPr>
          <w:rFonts w:asciiTheme="minorHAnsi" w:hAnsiTheme="minorHAnsi" w:cs="Times New Roman"/>
          <w:sz w:val="22"/>
        </w:rPr>
      </w:pPr>
      <w:r>
        <w:rPr>
          <w:rFonts w:asciiTheme="minorHAnsi" w:hAnsiTheme="minorHAnsi" w:cs="Times New Roman"/>
          <w:sz w:val="22"/>
        </w:rPr>
        <w:t>A</w:t>
      </w:r>
      <w:r w:rsidR="00D65BD4">
        <w:rPr>
          <w:rFonts w:asciiTheme="minorHAnsi" w:hAnsiTheme="minorHAnsi" w:cs="Times New Roman"/>
          <w:sz w:val="22"/>
        </w:rPr>
        <w:t>ctualice</w:t>
      </w:r>
      <w:r w:rsidR="0006795F">
        <w:rPr>
          <w:rFonts w:asciiTheme="minorHAnsi" w:hAnsiTheme="minorHAnsi" w:cs="Times New Roman"/>
          <w:sz w:val="22"/>
        </w:rPr>
        <w:t xml:space="preserve"> </w:t>
      </w:r>
      <w:r w:rsidR="00D65BD4">
        <w:rPr>
          <w:rFonts w:asciiTheme="minorHAnsi" w:hAnsiTheme="minorHAnsi" w:cs="Times New Roman"/>
          <w:sz w:val="22"/>
        </w:rPr>
        <w:t>el</w:t>
      </w:r>
      <w:r w:rsidR="00E80F74" w:rsidRPr="00C14A6F">
        <w:rPr>
          <w:rFonts w:asciiTheme="minorHAnsi" w:hAnsiTheme="minorHAnsi" w:cs="Times New Roman"/>
          <w:sz w:val="22"/>
        </w:rPr>
        <w:t xml:space="preserve"> mapa estratégico</w:t>
      </w:r>
      <w:r w:rsidR="00D65BD4">
        <w:rPr>
          <w:rFonts w:asciiTheme="minorHAnsi" w:hAnsiTheme="minorHAnsi" w:cs="Times New Roman"/>
          <w:sz w:val="22"/>
        </w:rPr>
        <w:t xml:space="preserve"> de su</w:t>
      </w:r>
      <w:r>
        <w:rPr>
          <w:rFonts w:asciiTheme="minorHAnsi" w:hAnsiTheme="minorHAnsi" w:cs="Times New Roman"/>
          <w:sz w:val="22"/>
        </w:rPr>
        <w:t xml:space="preserve"> Centro para </w:t>
      </w:r>
      <w:r w:rsidR="008E000D">
        <w:rPr>
          <w:rFonts w:asciiTheme="minorHAnsi" w:hAnsiTheme="minorHAnsi" w:cs="Times New Roman"/>
          <w:sz w:val="22"/>
        </w:rPr>
        <w:t>el siguiente</w:t>
      </w:r>
      <w:r>
        <w:rPr>
          <w:rFonts w:asciiTheme="minorHAnsi" w:hAnsiTheme="minorHAnsi" w:cs="Times New Roman"/>
          <w:sz w:val="22"/>
        </w:rPr>
        <w:t xml:space="preserve"> período</w:t>
      </w:r>
      <w:r w:rsidR="00E80F74" w:rsidRPr="00C14A6F">
        <w:rPr>
          <w:rFonts w:asciiTheme="minorHAnsi" w:hAnsiTheme="minorHAnsi" w:cs="Times New Roman"/>
          <w:sz w:val="22"/>
        </w:rPr>
        <w:t xml:space="preserve">, tomando como </w:t>
      </w:r>
      <w:r w:rsidR="00D65BD4">
        <w:rPr>
          <w:rFonts w:asciiTheme="minorHAnsi" w:hAnsiTheme="minorHAnsi" w:cs="Times New Roman"/>
          <w:sz w:val="22"/>
        </w:rPr>
        <w:t>referencia</w:t>
      </w:r>
      <w:r w:rsidR="00E80F74" w:rsidRPr="00C14A6F">
        <w:rPr>
          <w:rFonts w:asciiTheme="minorHAnsi" w:hAnsiTheme="minorHAnsi" w:cs="Times New Roman"/>
          <w:sz w:val="22"/>
        </w:rPr>
        <w:t xml:space="preserve"> el siguiente </w:t>
      </w:r>
      <w:r w:rsidR="006F362E">
        <w:rPr>
          <w:rFonts w:asciiTheme="minorHAnsi" w:hAnsiTheme="minorHAnsi" w:cs="Times New Roman"/>
          <w:sz w:val="22"/>
        </w:rPr>
        <w:t>cuadro. Se adjuntará archivo ppt con el mapa actual de su Centro.</w:t>
      </w:r>
    </w:p>
    <w:p w14:paraId="1380FF43" w14:textId="77777777" w:rsidR="008E000D" w:rsidRPr="00C14A6F" w:rsidRDefault="008E000D" w:rsidP="00084EA0">
      <w:pPr>
        <w:pStyle w:val="SBDCManualBody"/>
        <w:rPr>
          <w:rFonts w:asciiTheme="minorHAnsi" w:hAnsiTheme="minorHAnsi" w:cs="Times New Roman"/>
          <w:sz w:val="22"/>
        </w:rPr>
      </w:pPr>
    </w:p>
    <w:p w14:paraId="56CD7BDD" w14:textId="77777777" w:rsidR="006600D8" w:rsidRPr="00C14A6F" w:rsidRDefault="006600D8" w:rsidP="006600D8">
      <w:pPr>
        <w:pStyle w:val="SBDCManualBody"/>
        <w:jc w:val="center"/>
        <w:rPr>
          <w:rFonts w:asciiTheme="minorHAnsi" w:hAnsiTheme="minorHAnsi" w:cs="Times New Roman"/>
          <w:b/>
          <w:sz w:val="22"/>
        </w:rPr>
      </w:pPr>
      <w:r w:rsidRPr="00C14A6F">
        <w:rPr>
          <w:rFonts w:asciiTheme="minorHAnsi" w:hAnsiTheme="minorHAnsi" w:cs="Times New Roman"/>
          <w:b/>
          <w:noProof/>
          <w:sz w:val="22"/>
          <w:lang w:val="es-CL" w:eastAsia="es-CL"/>
        </w:rPr>
        <w:drawing>
          <wp:inline distT="0" distB="0" distL="0" distR="0" wp14:anchorId="29F74D42" wp14:editId="0F5BA6EF">
            <wp:extent cx="5612130" cy="4288790"/>
            <wp:effectExtent l="0" t="0" r="762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2130" cy="4288790"/>
                    </a:xfrm>
                    <a:prstGeom prst="rect">
                      <a:avLst/>
                    </a:prstGeom>
                  </pic:spPr>
                </pic:pic>
              </a:graphicData>
            </a:graphic>
          </wp:inline>
        </w:drawing>
      </w:r>
    </w:p>
    <w:p w14:paraId="2415B4EA" w14:textId="77777777" w:rsidR="004E70DF" w:rsidRPr="00C14A6F" w:rsidRDefault="004E70DF">
      <w:pPr>
        <w:rPr>
          <w:rFonts w:eastAsia="Times New Roman" w:cs="Times New Roman"/>
          <w:b/>
          <w:lang w:val="es-ES_tradnl"/>
        </w:rPr>
      </w:pPr>
      <w:r w:rsidRPr="00C14A6F">
        <w:rPr>
          <w:rFonts w:cs="Times New Roman"/>
          <w:b/>
        </w:rPr>
        <w:lastRenderedPageBreak/>
        <w:br w:type="page"/>
      </w:r>
    </w:p>
    <w:p w14:paraId="6FCA3080" w14:textId="77777777" w:rsidR="00D65BD4" w:rsidRDefault="00D65BD4" w:rsidP="00D65BD4">
      <w:pPr>
        <w:pStyle w:val="SBDCManualBody"/>
        <w:rPr>
          <w:rFonts w:asciiTheme="minorHAnsi" w:hAnsiTheme="minorHAnsi" w:cs="Times New Roman"/>
          <w:sz w:val="22"/>
          <w:lang w:val="es-CL"/>
        </w:rPr>
      </w:pPr>
    </w:p>
    <w:p w14:paraId="3AB380E2" w14:textId="77777777" w:rsidR="00D65BD4" w:rsidRPr="00C14A6F" w:rsidRDefault="008E000D" w:rsidP="008E000D">
      <w:pPr>
        <w:pStyle w:val="SBDCManualBody"/>
        <w:rPr>
          <w:rFonts w:asciiTheme="minorHAnsi" w:hAnsiTheme="minorHAnsi" w:cs="Times New Roman"/>
          <w:b/>
          <w:sz w:val="22"/>
          <w:lang w:val="es-CL"/>
        </w:rPr>
      </w:pPr>
      <w:r>
        <w:rPr>
          <w:rFonts w:asciiTheme="minorHAnsi" w:hAnsiTheme="minorHAnsi" w:cs="Times New Roman"/>
          <w:b/>
          <w:sz w:val="22"/>
          <w:lang w:val="es-CL"/>
        </w:rPr>
        <w:t xml:space="preserve">Anexo 2 </w:t>
      </w:r>
      <w:r w:rsidR="00D65BD4">
        <w:rPr>
          <w:rFonts w:asciiTheme="minorHAnsi" w:hAnsiTheme="minorHAnsi" w:cs="Times New Roman"/>
          <w:b/>
          <w:sz w:val="22"/>
          <w:lang w:val="es-CL"/>
        </w:rPr>
        <w:t>PRESUPUESTO</w:t>
      </w:r>
      <w:r w:rsidR="00D51406">
        <w:rPr>
          <w:rFonts w:asciiTheme="minorHAnsi" w:hAnsiTheme="minorHAnsi" w:cs="Times New Roman"/>
          <w:b/>
          <w:sz w:val="22"/>
          <w:lang w:val="es-CL"/>
        </w:rPr>
        <w:t xml:space="preserve"> ANUAL</w:t>
      </w:r>
    </w:p>
    <w:p w14:paraId="1364249D" w14:textId="77777777" w:rsidR="00D65BD4" w:rsidRDefault="00D65BD4" w:rsidP="00D65BD4">
      <w:pPr>
        <w:pStyle w:val="SBDCManualBody"/>
        <w:rPr>
          <w:rFonts w:asciiTheme="minorHAnsi" w:hAnsiTheme="minorHAnsi" w:cs="Times New Roman"/>
          <w:sz w:val="22"/>
          <w:lang w:val="es-CL"/>
        </w:rPr>
      </w:pPr>
      <w:r>
        <w:rPr>
          <w:rFonts w:asciiTheme="minorHAnsi" w:hAnsiTheme="minorHAnsi" w:cs="Times New Roman"/>
          <w:sz w:val="22"/>
          <w:lang w:val="es-CL"/>
        </w:rPr>
        <w:t>En base al presupuesto aprobado del primer acuerdo de desempeño; % de aporte Sercotec y % Operador + asociados que fueron evaluados y adjudicados en la propuesta, formule el presupuesto para el segundo acuerdo de desempeño. Se adjunta formato Excel para su elaboración.</w:t>
      </w:r>
    </w:p>
    <w:p w14:paraId="03DD4B98" w14:textId="77777777" w:rsidR="00084EA0" w:rsidRPr="00C14A6F" w:rsidRDefault="00084EA0" w:rsidP="00B364D0">
      <w:pPr>
        <w:pStyle w:val="SBDCManualBody"/>
        <w:rPr>
          <w:rFonts w:asciiTheme="minorHAnsi" w:hAnsiTheme="minorHAnsi" w:cs="Times New Roman"/>
          <w:sz w:val="22"/>
          <w:lang w:val="es-CL"/>
        </w:rPr>
      </w:pPr>
    </w:p>
    <w:p w14:paraId="5BA9AE4E" w14:textId="77777777" w:rsidR="008B5658" w:rsidRPr="00C14A6F" w:rsidRDefault="008B5658" w:rsidP="005B2560">
      <w:pPr>
        <w:jc w:val="center"/>
      </w:pPr>
    </w:p>
    <w:sectPr w:rsidR="008B5658" w:rsidRPr="00C14A6F" w:rsidSect="00241125">
      <w:headerReference w:type="default" r:id="rId12"/>
      <w:footerReference w:type="default" r:id="rId13"/>
      <w:pgSz w:w="12240" w:h="15840" w:code="1"/>
      <w:pgMar w:top="1418"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laudia rodriguez" w:date="2017-07-23T19:09:00Z" w:initials="cr">
    <w:p w14:paraId="436EB327" w14:textId="77777777" w:rsidR="006856A1" w:rsidRDefault="006856A1">
      <w:pPr>
        <w:pStyle w:val="Textocomentario"/>
      </w:pPr>
      <w:r>
        <w:rPr>
          <w:rStyle w:val="Refdecomentario"/>
        </w:rPr>
        <w:annotationRef/>
      </w:r>
      <w:r>
        <w:t>CONFIRMAR PERIODICIDAD</w:t>
      </w:r>
    </w:p>
  </w:comment>
  <w:comment w:id="1" w:author="claudia rodriguez" w:date="2017-07-23T19:16:00Z" w:initials="cr">
    <w:p w14:paraId="08DBAAB3" w14:textId="77777777" w:rsidR="006856A1" w:rsidRDefault="006856A1">
      <w:pPr>
        <w:pStyle w:val="Textocomentario"/>
      </w:pPr>
      <w:r>
        <w:rPr>
          <w:rStyle w:val="Refdecomentario"/>
        </w:rPr>
        <w:annotationRef/>
      </w:r>
      <w:r>
        <w:t>CONFIMAR PERIODICIDAD</w:t>
      </w:r>
    </w:p>
  </w:comment>
  <w:comment w:id="2" w:author="claudia rodriguez" w:date="2017-07-23T19:20:00Z" w:initials="cr">
    <w:p w14:paraId="6E304C19" w14:textId="77777777" w:rsidR="006856A1" w:rsidRDefault="006856A1">
      <w:pPr>
        <w:pStyle w:val="Textocomentario"/>
      </w:pPr>
      <w:r>
        <w:rPr>
          <w:rStyle w:val="Refdecomentario"/>
        </w:rPr>
        <w:annotationRef/>
      </w:r>
      <w:r>
        <w:t>CONFIRMAR PERIODICIDAD</w:t>
      </w:r>
    </w:p>
  </w:comment>
  <w:comment w:id="3" w:author="claudia rodriguez" w:date="2017-07-23T19:21:00Z" w:initials="cr">
    <w:p w14:paraId="4DE44854" w14:textId="77777777" w:rsidR="006856A1" w:rsidRDefault="006856A1">
      <w:pPr>
        <w:pStyle w:val="Textocomentario"/>
      </w:pPr>
      <w:r>
        <w:rPr>
          <w:rStyle w:val="Refdecomentario"/>
        </w:rPr>
        <w:annotationRef/>
      </w:r>
      <w:r>
        <w:t>ENVIO PREVIAMENTE A LA PERIODISTA Y CONTRAPARTE REGIONAL PARA SU DEBIDO VºB</w:t>
      </w:r>
    </w:p>
  </w:comment>
  <w:comment w:id="4" w:author="claudia rodriguez" w:date="2017-07-23T19:22:00Z" w:initials="cr">
    <w:p w14:paraId="0C723DD5" w14:textId="23DF4265" w:rsidR="006856A1" w:rsidRDefault="006856A1">
      <w:pPr>
        <w:pStyle w:val="Textocomentario"/>
      </w:pPr>
      <w:r>
        <w:rPr>
          <w:rStyle w:val="Refdecomentario"/>
        </w:rPr>
        <w:annotationRef/>
      </w:r>
      <w:r>
        <w:t>EL OPERADOR ES LA UCM, COM AGREGARA VALOR?</w:t>
      </w:r>
    </w:p>
  </w:comment>
  <w:comment w:id="5" w:author="claudia rodriguez" w:date="2017-07-23T19:22:00Z" w:initials="cr">
    <w:p w14:paraId="7A615B5C" w14:textId="03DB5BA8" w:rsidR="006856A1" w:rsidRDefault="006856A1">
      <w:pPr>
        <w:pStyle w:val="Textocomentario"/>
      </w:pPr>
      <w:r>
        <w:rPr>
          <w:rStyle w:val="Refdecomentario"/>
        </w:rPr>
        <w:annotationRef/>
      </w:r>
      <w:r>
        <w:t>SERA POCO? ESTA DEBE SER UNA DE LAS PROPUESTA DE VALOR DE LA U</w:t>
      </w:r>
    </w:p>
  </w:comment>
  <w:comment w:id="6" w:author="claudia rodriguez" w:date="2017-07-23T19:25:00Z" w:initials="cr">
    <w:p w14:paraId="54BE864B" w14:textId="0E9D3D1E" w:rsidR="006856A1" w:rsidRDefault="006856A1">
      <w:pPr>
        <w:pStyle w:val="Textocomentario"/>
      </w:pPr>
      <w:r>
        <w:rPr>
          <w:rStyle w:val="Refdecomentario"/>
        </w:rPr>
        <w:annotationRef/>
      </w:r>
      <w:r>
        <w:t>DESAFIANTE. RECORDAR QUE ES UNA ZONA DE  REZAGO</w:t>
      </w:r>
    </w:p>
  </w:comment>
  <w:comment w:id="7" w:author="claudia rodriguez" w:date="2017-07-23T19:26:00Z" w:initials="cr">
    <w:p w14:paraId="3C1097ED" w14:textId="77777777" w:rsidR="006856A1" w:rsidRDefault="006856A1">
      <w:pPr>
        <w:pStyle w:val="Textocomentario"/>
      </w:pPr>
      <w:r>
        <w:rPr>
          <w:rStyle w:val="Refdecomentario"/>
        </w:rPr>
        <w:annotationRef/>
      </w:r>
      <w:r>
        <w:t>EXPLICAR OMO REALIZARA SU MONITOREO.</w:t>
      </w:r>
    </w:p>
    <w:p w14:paraId="0EE93445" w14:textId="7F01FBF0" w:rsidR="006856A1" w:rsidRDefault="006856A1">
      <w:pPr>
        <w:pStyle w:val="Textocomentario"/>
      </w:pPr>
      <w:r>
        <w:t>39 CLIEENTES APROX TENDRA EL DIRECTOR</w:t>
      </w:r>
    </w:p>
  </w:comment>
  <w:comment w:id="8" w:author="claudia rodriguez" w:date="2017-07-23T19:28:00Z" w:initials="cr">
    <w:p w14:paraId="2951E6E2" w14:textId="7D3670E1" w:rsidR="006856A1" w:rsidRDefault="006856A1">
      <w:pPr>
        <w:pStyle w:val="Textocomentario"/>
      </w:pPr>
      <w:r>
        <w:rPr>
          <w:rStyle w:val="Refdecomentario"/>
        </w:rPr>
        <w:annotationRef/>
      </w:r>
      <w:r>
        <w:t>DESAFIANTE</w:t>
      </w:r>
    </w:p>
  </w:comment>
  <w:comment w:id="9" w:author="claudia rodriguez" w:date="2017-07-23T19:29:00Z" w:initials="cr">
    <w:p w14:paraId="50D9D83C" w14:textId="79413D2D" w:rsidR="006856A1" w:rsidRDefault="006856A1">
      <w:pPr>
        <w:pStyle w:val="Textocomentario"/>
      </w:pPr>
      <w:r>
        <w:rPr>
          <w:rStyle w:val="Refdecomentario"/>
        </w:rPr>
        <w:annotationRef/>
      </w:r>
      <w:r>
        <w:t>ZONA REZAGO</w:t>
      </w:r>
    </w:p>
    <w:p w14:paraId="56D4DDBC" w14:textId="48A13D56" w:rsidR="006856A1" w:rsidRDefault="006856A1">
      <w:pPr>
        <w:pStyle w:val="Textocomentario"/>
      </w:pPr>
      <w:r>
        <w:t>194*30%=</w:t>
      </w:r>
      <w:r w:rsidR="002B4B6A">
        <w:t>58</w:t>
      </w:r>
    </w:p>
    <w:p w14:paraId="6CBAEE2C" w14:textId="790B32C9" w:rsidR="002B4B6A" w:rsidRDefault="002B4B6A">
      <w:pPr>
        <w:pStyle w:val="Textocomentario"/>
      </w:pPr>
      <w:r>
        <w:t>SI BIEN NO CUMPLE CON EL 30% SOLICITADO CONSIDERAR TERRITORIO ZR</w:t>
      </w:r>
    </w:p>
    <w:p w14:paraId="3DA84540" w14:textId="1827ED02" w:rsidR="002B4B6A" w:rsidRDefault="002B4B6A">
      <w:pPr>
        <w:pStyle w:val="Textocomentario"/>
      </w:pPr>
      <w:r>
        <w:t>ACEPTABLE</w:t>
      </w:r>
    </w:p>
  </w:comment>
  <w:comment w:id="10" w:author="claudia rodriguez" w:date="2017-07-23T19:29:00Z" w:initials="cr">
    <w:p w14:paraId="72DDADCF" w14:textId="246DE6CC" w:rsidR="006856A1" w:rsidRDefault="006856A1">
      <w:pPr>
        <w:pStyle w:val="Textocomentario"/>
      </w:pPr>
      <w:r>
        <w:rPr>
          <w:rStyle w:val="Refdecomentario"/>
        </w:rPr>
        <w:annotationRef/>
      </w:r>
      <w:r>
        <w:t>ZONA REZAGO</w:t>
      </w:r>
    </w:p>
    <w:p w14:paraId="273BE6E1" w14:textId="778983BA" w:rsidR="002B4B6A" w:rsidRDefault="002B4B6A">
      <w:pPr>
        <w:pStyle w:val="Textocomentario"/>
      </w:pPr>
      <w:r>
        <w:t>AÑO 2 TIENE 15</w:t>
      </w:r>
    </w:p>
    <w:p w14:paraId="718F7D37" w14:textId="47A3A6AD" w:rsidR="002B4B6A" w:rsidRDefault="002B4B6A">
      <w:pPr>
        <w:pStyle w:val="Textocomentario"/>
      </w:pPr>
      <w:r>
        <w:t>ACEPTABLE</w:t>
      </w:r>
    </w:p>
  </w:comment>
  <w:comment w:id="11" w:author="claudia rodriguez" w:date="2017-07-23T19:30:00Z" w:initials="cr">
    <w:p w14:paraId="480E9A38" w14:textId="41404860" w:rsidR="006856A1" w:rsidRDefault="006856A1">
      <w:pPr>
        <w:pStyle w:val="Textocomentario"/>
      </w:pPr>
      <w:r>
        <w:rPr>
          <w:rStyle w:val="Refdecomentario"/>
        </w:rPr>
        <w:annotationRef/>
      </w:r>
      <w:r>
        <w:t>ZR</w:t>
      </w:r>
    </w:p>
  </w:comment>
  <w:comment w:id="12" w:author="claudia rodriguez" w:date="2017-07-23T19:33:00Z" w:initials="cr">
    <w:p w14:paraId="07840387" w14:textId="5E69F132" w:rsidR="00B825C7" w:rsidRDefault="00B825C7">
      <w:pPr>
        <w:pStyle w:val="Textocomentario"/>
      </w:pPr>
      <w:r>
        <w:rPr>
          <w:rStyle w:val="Refdecomentario"/>
        </w:rPr>
        <w:annotationRef/>
      </w:r>
      <w:r>
        <w:t>CONFIRMAR FECHA DE INGRESO COMO DIRECTOR, YA QUE ESTA FECHA OBEDECE A SU INGRESO DE SENIOR.</w:t>
      </w:r>
    </w:p>
  </w:comment>
  <w:comment w:id="13" w:author="claudia rodriguez" w:date="2017-07-23T19:33:00Z" w:initials="cr">
    <w:p w14:paraId="2336B5C8" w14:textId="403D49BA" w:rsidR="00B825C7" w:rsidRDefault="00B825C7">
      <w:pPr>
        <w:pStyle w:val="Textocomentario"/>
      </w:pPr>
      <w:r>
        <w:rPr>
          <w:rStyle w:val="Refdecomentario"/>
        </w:rPr>
        <w:annotationRef/>
      </w:r>
      <w:r>
        <w:t>IDEM FUR ASESOR JUNIOR INICIALMENTE</w:t>
      </w:r>
    </w:p>
  </w:comment>
  <w:comment w:id="14" w:author="claudia rodriguez" w:date="2017-07-23T19:34:00Z" w:initials="cr">
    <w:p w14:paraId="6C03EB92" w14:textId="61452044" w:rsidR="00B825C7" w:rsidRDefault="00B825C7">
      <w:pPr>
        <w:pStyle w:val="Textocomentario"/>
      </w:pPr>
      <w:r>
        <w:rPr>
          <w:rStyle w:val="Refdecomentario"/>
        </w:rPr>
        <w:annotationRef/>
      </w:r>
      <w:r>
        <w:t>SE OBSERVA QUE CIRTOS MIEMBROS NO SON MUY ACTIVOS O PRO AL COMITÉ. CONFIRMAR….</w:t>
      </w:r>
    </w:p>
  </w:comment>
  <w:comment w:id="16" w:author="claudia rodriguez" w:date="2017-07-23T19:35:00Z" w:initials="cr">
    <w:p w14:paraId="147E9D7E" w14:textId="0E20C7BF" w:rsidR="00B825C7" w:rsidRDefault="00B825C7">
      <w:pPr>
        <w:pStyle w:val="Textocomentario"/>
      </w:pPr>
      <w:r>
        <w:rPr>
          <w:rStyle w:val="Refdecomentario"/>
        </w:rPr>
        <w:annotationRef/>
      </w:r>
      <w:r>
        <w:t>COTEJAT VACIADO AL PPTO.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6EB327" w15:done="0"/>
  <w15:commentEx w15:paraId="08DBAAB3" w15:done="0"/>
  <w15:commentEx w15:paraId="6E304C19" w15:done="0"/>
  <w15:commentEx w15:paraId="4DE44854" w15:done="0"/>
  <w15:commentEx w15:paraId="0C723DD5" w15:done="0"/>
  <w15:commentEx w15:paraId="7A615B5C" w15:done="0"/>
  <w15:commentEx w15:paraId="54BE864B" w15:done="0"/>
  <w15:commentEx w15:paraId="0EE93445" w15:done="0"/>
  <w15:commentEx w15:paraId="2951E6E2" w15:done="0"/>
  <w15:commentEx w15:paraId="3DA84540" w15:done="0"/>
  <w15:commentEx w15:paraId="718F7D37" w15:done="0"/>
  <w15:commentEx w15:paraId="480E9A38" w15:done="0"/>
  <w15:commentEx w15:paraId="07840387" w15:done="0"/>
  <w15:commentEx w15:paraId="2336B5C8" w15:done="0"/>
  <w15:commentEx w15:paraId="6C03EB92" w15:done="0"/>
  <w15:commentEx w15:paraId="147E9D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6EB327" w16cid:durableId="1D1F72F4"/>
  <w16cid:commentId w16cid:paraId="08DBAAB3" w16cid:durableId="1D1F7472"/>
  <w16cid:commentId w16cid:paraId="6E304C19" w16cid:durableId="1D1F7574"/>
  <w16cid:commentId w16cid:paraId="4DE44854" w16cid:durableId="1D1F75A1"/>
  <w16cid:commentId w16cid:paraId="0C723DD5" w16cid:durableId="1D1F75E5"/>
  <w16cid:commentId w16cid:paraId="7A615B5C" w16cid:durableId="1D1F7601"/>
  <w16cid:commentId w16cid:paraId="54BE864B" w16cid:durableId="1D1F769C"/>
  <w16cid:commentId w16cid:paraId="0EE93445" w16cid:durableId="1D1F76F9"/>
  <w16cid:commentId w16cid:paraId="2951E6E2" w16cid:durableId="1D1F775C"/>
  <w16cid:commentId w16cid:paraId="3DA84540" w16cid:durableId="1D1F7795"/>
  <w16cid:commentId w16cid:paraId="718F7D37" w16cid:durableId="1D1F779B"/>
  <w16cid:commentId w16cid:paraId="480E9A38" w16cid:durableId="1D1F77BC"/>
  <w16cid:commentId w16cid:paraId="07840387" w16cid:durableId="1D1F786C"/>
  <w16cid:commentId w16cid:paraId="2336B5C8" w16cid:durableId="1D1F789B"/>
  <w16cid:commentId w16cid:paraId="6C03EB92" w16cid:durableId="1D1F78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D2B50" w14:textId="77777777" w:rsidR="00B805DF" w:rsidRDefault="00B805DF" w:rsidP="00753BB4">
      <w:pPr>
        <w:spacing w:after="0" w:line="240" w:lineRule="auto"/>
      </w:pPr>
      <w:r>
        <w:separator/>
      </w:r>
    </w:p>
  </w:endnote>
  <w:endnote w:type="continuationSeparator" w:id="0">
    <w:p w14:paraId="5B2ED161" w14:textId="77777777" w:rsidR="00B805DF" w:rsidRDefault="00B805DF" w:rsidP="0075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288495"/>
      <w:docPartObj>
        <w:docPartGallery w:val="Page Numbers (Bottom of Page)"/>
        <w:docPartUnique/>
      </w:docPartObj>
    </w:sdtPr>
    <w:sdtEndPr/>
    <w:sdtContent>
      <w:p w14:paraId="0173FB03" w14:textId="08750A22" w:rsidR="006856A1" w:rsidRDefault="006856A1">
        <w:pPr>
          <w:pStyle w:val="Piedepgina"/>
          <w:jc w:val="right"/>
        </w:pPr>
        <w:r w:rsidRPr="00C157E1">
          <w:rPr>
            <w:sz w:val="18"/>
            <w:szCs w:val="18"/>
          </w:rPr>
          <w:fldChar w:fldCharType="begin"/>
        </w:r>
        <w:r w:rsidRPr="00C157E1">
          <w:rPr>
            <w:sz w:val="18"/>
            <w:szCs w:val="18"/>
          </w:rPr>
          <w:instrText>PAGE   \* MERGEFORMAT</w:instrText>
        </w:r>
        <w:r w:rsidRPr="00C157E1">
          <w:rPr>
            <w:sz w:val="18"/>
            <w:szCs w:val="18"/>
          </w:rPr>
          <w:fldChar w:fldCharType="separate"/>
        </w:r>
        <w:r w:rsidR="00FE0C41" w:rsidRPr="00FE0C41">
          <w:rPr>
            <w:noProof/>
            <w:sz w:val="18"/>
            <w:szCs w:val="18"/>
            <w:lang w:val="es-ES"/>
          </w:rPr>
          <w:t>10</w:t>
        </w:r>
        <w:r w:rsidRPr="00C157E1">
          <w:rPr>
            <w:sz w:val="18"/>
            <w:szCs w:val="18"/>
          </w:rPr>
          <w:fldChar w:fldCharType="end"/>
        </w:r>
      </w:p>
    </w:sdtContent>
  </w:sdt>
  <w:p w14:paraId="59714CF3" w14:textId="77777777" w:rsidR="006856A1" w:rsidRDefault="006856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8BA0E" w14:textId="77777777" w:rsidR="00B805DF" w:rsidRDefault="00B805DF" w:rsidP="00753BB4">
      <w:pPr>
        <w:spacing w:after="0" w:line="240" w:lineRule="auto"/>
      </w:pPr>
      <w:r>
        <w:separator/>
      </w:r>
    </w:p>
  </w:footnote>
  <w:footnote w:type="continuationSeparator" w:id="0">
    <w:p w14:paraId="6E3B0032" w14:textId="77777777" w:rsidR="00B805DF" w:rsidRDefault="00B805DF" w:rsidP="00753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4808C" w14:textId="77777777" w:rsidR="006856A1" w:rsidRDefault="006856A1" w:rsidP="00AE4AD3">
    <w:pPr>
      <w:pStyle w:val="Encabezado"/>
      <w:tabs>
        <w:tab w:val="clear" w:pos="8838"/>
        <w:tab w:val="right" w:pos="9356"/>
      </w:tabs>
      <w:ind w:right="-518"/>
    </w:pPr>
    <w:r>
      <w:rPr>
        <w:noProof/>
        <w:lang w:eastAsia="es-CL"/>
      </w:rPr>
      <w:drawing>
        <wp:inline distT="0" distB="0" distL="0" distR="0" wp14:anchorId="792FF453" wp14:editId="3FBD0AEA">
          <wp:extent cx="1009290" cy="765411"/>
          <wp:effectExtent l="0" t="0" r="0" b="0"/>
          <wp:docPr id="4" name="Imagen 4" descr="C:\Users\pablo.barahona\Desktop\LOGO C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blo.barahona\Desktop\LOGO CD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203" cy="7653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F619A"/>
    <w:multiLevelType w:val="hybridMultilevel"/>
    <w:tmpl w:val="2F926CB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02C69B9"/>
    <w:multiLevelType w:val="hybridMultilevel"/>
    <w:tmpl w:val="86782D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702158B"/>
    <w:multiLevelType w:val="hybridMultilevel"/>
    <w:tmpl w:val="697E60C2"/>
    <w:lvl w:ilvl="0" w:tplc="50485154">
      <w:start w:val="1"/>
      <w:numFmt w:val="bullet"/>
      <w:lvlText w:val=""/>
      <w:lvlJc w:val="left"/>
      <w:pPr>
        <w:ind w:left="720" w:hanging="360"/>
      </w:pPr>
      <w:rPr>
        <w:rFonts w:ascii="Symbol" w:hAnsi="Symbol" w:hint="default"/>
        <w:color w:val="262626" w:themeColor="text1" w:themeTint="D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1648E7"/>
    <w:multiLevelType w:val="hybridMultilevel"/>
    <w:tmpl w:val="9DB49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F6E11"/>
    <w:multiLevelType w:val="hybridMultilevel"/>
    <w:tmpl w:val="1088911E"/>
    <w:lvl w:ilvl="0" w:tplc="B7B0905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66123"/>
    <w:multiLevelType w:val="hybridMultilevel"/>
    <w:tmpl w:val="ACF4B8E6"/>
    <w:lvl w:ilvl="0" w:tplc="340A0001">
      <w:start w:val="1"/>
      <w:numFmt w:val="bullet"/>
      <w:lvlText w:val=""/>
      <w:lvlJc w:val="left"/>
      <w:pPr>
        <w:ind w:left="774" w:hanging="360"/>
      </w:pPr>
      <w:rPr>
        <w:rFonts w:ascii="Symbol" w:hAnsi="Symbol" w:hint="default"/>
      </w:rPr>
    </w:lvl>
    <w:lvl w:ilvl="1" w:tplc="340A0003" w:tentative="1">
      <w:start w:val="1"/>
      <w:numFmt w:val="bullet"/>
      <w:lvlText w:val="o"/>
      <w:lvlJc w:val="left"/>
      <w:pPr>
        <w:ind w:left="1494" w:hanging="360"/>
      </w:pPr>
      <w:rPr>
        <w:rFonts w:ascii="Courier New" w:hAnsi="Courier New" w:cs="Courier New" w:hint="default"/>
      </w:rPr>
    </w:lvl>
    <w:lvl w:ilvl="2" w:tplc="340A0005" w:tentative="1">
      <w:start w:val="1"/>
      <w:numFmt w:val="bullet"/>
      <w:lvlText w:val=""/>
      <w:lvlJc w:val="left"/>
      <w:pPr>
        <w:ind w:left="2214" w:hanging="360"/>
      </w:pPr>
      <w:rPr>
        <w:rFonts w:ascii="Wingdings" w:hAnsi="Wingdings" w:hint="default"/>
      </w:rPr>
    </w:lvl>
    <w:lvl w:ilvl="3" w:tplc="340A0001" w:tentative="1">
      <w:start w:val="1"/>
      <w:numFmt w:val="bullet"/>
      <w:lvlText w:val=""/>
      <w:lvlJc w:val="left"/>
      <w:pPr>
        <w:ind w:left="2934" w:hanging="360"/>
      </w:pPr>
      <w:rPr>
        <w:rFonts w:ascii="Symbol" w:hAnsi="Symbol" w:hint="default"/>
      </w:rPr>
    </w:lvl>
    <w:lvl w:ilvl="4" w:tplc="340A0003" w:tentative="1">
      <w:start w:val="1"/>
      <w:numFmt w:val="bullet"/>
      <w:lvlText w:val="o"/>
      <w:lvlJc w:val="left"/>
      <w:pPr>
        <w:ind w:left="3654" w:hanging="360"/>
      </w:pPr>
      <w:rPr>
        <w:rFonts w:ascii="Courier New" w:hAnsi="Courier New" w:cs="Courier New" w:hint="default"/>
      </w:rPr>
    </w:lvl>
    <w:lvl w:ilvl="5" w:tplc="340A0005" w:tentative="1">
      <w:start w:val="1"/>
      <w:numFmt w:val="bullet"/>
      <w:lvlText w:val=""/>
      <w:lvlJc w:val="left"/>
      <w:pPr>
        <w:ind w:left="4374" w:hanging="360"/>
      </w:pPr>
      <w:rPr>
        <w:rFonts w:ascii="Wingdings" w:hAnsi="Wingdings" w:hint="default"/>
      </w:rPr>
    </w:lvl>
    <w:lvl w:ilvl="6" w:tplc="340A0001" w:tentative="1">
      <w:start w:val="1"/>
      <w:numFmt w:val="bullet"/>
      <w:lvlText w:val=""/>
      <w:lvlJc w:val="left"/>
      <w:pPr>
        <w:ind w:left="5094" w:hanging="360"/>
      </w:pPr>
      <w:rPr>
        <w:rFonts w:ascii="Symbol" w:hAnsi="Symbol" w:hint="default"/>
      </w:rPr>
    </w:lvl>
    <w:lvl w:ilvl="7" w:tplc="340A0003" w:tentative="1">
      <w:start w:val="1"/>
      <w:numFmt w:val="bullet"/>
      <w:lvlText w:val="o"/>
      <w:lvlJc w:val="left"/>
      <w:pPr>
        <w:ind w:left="5814" w:hanging="360"/>
      </w:pPr>
      <w:rPr>
        <w:rFonts w:ascii="Courier New" w:hAnsi="Courier New" w:cs="Courier New" w:hint="default"/>
      </w:rPr>
    </w:lvl>
    <w:lvl w:ilvl="8" w:tplc="340A0005" w:tentative="1">
      <w:start w:val="1"/>
      <w:numFmt w:val="bullet"/>
      <w:lvlText w:val=""/>
      <w:lvlJc w:val="left"/>
      <w:pPr>
        <w:ind w:left="6534" w:hanging="360"/>
      </w:pPr>
      <w:rPr>
        <w:rFonts w:ascii="Wingdings" w:hAnsi="Wingdings" w:hint="default"/>
      </w:rPr>
    </w:lvl>
  </w:abstractNum>
  <w:abstractNum w:abstractNumId="6" w15:restartNumberingAfterBreak="0">
    <w:nsid w:val="5F5A50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2B74653"/>
    <w:multiLevelType w:val="hybridMultilevel"/>
    <w:tmpl w:val="D7C07114"/>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83038D9"/>
    <w:multiLevelType w:val="hybridMultilevel"/>
    <w:tmpl w:val="12DAA5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5"/>
  </w:num>
  <w:num w:numId="6">
    <w:abstractNumId w:val="8"/>
  </w:num>
  <w:num w:numId="7">
    <w:abstractNumId w:val="1"/>
  </w:num>
  <w:num w:numId="8">
    <w:abstractNumId w:val="7"/>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udia rodriguez">
    <w15:presenceInfo w15:providerId="Windows Live" w15:userId="a178a16221418d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58"/>
    <w:rsid w:val="0006795F"/>
    <w:rsid w:val="00084EA0"/>
    <w:rsid w:val="000938AD"/>
    <w:rsid w:val="0009658C"/>
    <w:rsid w:val="000C2505"/>
    <w:rsid w:val="000D537C"/>
    <w:rsid w:val="00107A7F"/>
    <w:rsid w:val="00161A33"/>
    <w:rsid w:val="00161C70"/>
    <w:rsid w:val="001723F7"/>
    <w:rsid w:val="001C22B6"/>
    <w:rsid w:val="001D28E0"/>
    <w:rsid w:val="001D5A48"/>
    <w:rsid w:val="001E049F"/>
    <w:rsid w:val="00220255"/>
    <w:rsid w:val="00226EAD"/>
    <w:rsid w:val="00231ADA"/>
    <w:rsid w:val="00241125"/>
    <w:rsid w:val="002712E1"/>
    <w:rsid w:val="002A1CF1"/>
    <w:rsid w:val="002B4B6A"/>
    <w:rsid w:val="002C6C08"/>
    <w:rsid w:val="002D14CC"/>
    <w:rsid w:val="002D7AA8"/>
    <w:rsid w:val="0032277B"/>
    <w:rsid w:val="00346088"/>
    <w:rsid w:val="00351F14"/>
    <w:rsid w:val="003713A5"/>
    <w:rsid w:val="003813F2"/>
    <w:rsid w:val="00384140"/>
    <w:rsid w:val="003B7926"/>
    <w:rsid w:val="003F1D5F"/>
    <w:rsid w:val="003F44CE"/>
    <w:rsid w:val="00420E5D"/>
    <w:rsid w:val="00443B38"/>
    <w:rsid w:val="0047378F"/>
    <w:rsid w:val="0047423B"/>
    <w:rsid w:val="00481113"/>
    <w:rsid w:val="004B0F30"/>
    <w:rsid w:val="004D45B0"/>
    <w:rsid w:val="004E211F"/>
    <w:rsid w:val="004E70DF"/>
    <w:rsid w:val="0050603B"/>
    <w:rsid w:val="0051738D"/>
    <w:rsid w:val="00530280"/>
    <w:rsid w:val="00545EDF"/>
    <w:rsid w:val="00556D2D"/>
    <w:rsid w:val="005956C7"/>
    <w:rsid w:val="005B2560"/>
    <w:rsid w:val="005C3446"/>
    <w:rsid w:val="006055F1"/>
    <w:rsid w:val="00631BF8"/>
    <w:rsid w:val="00656960"/>
    <w:rsid w:val="006600D8"/>
    <w:rsid w:val="00662795"/>
    <w:rsid w:val="00665295"/>
    <w:rsid w:val="006856A1"/>
    <w:rsid w:val="00692438"/>
    <w:rsid w:val="006E30DB"/>
    <w:rsid w:val="006E3928"/>
    <w:rsid w:val="006F1856"/>
    <w:rsid w:val="006F362E"/>
    <w:rsid w:val="006F6B38"/>
    <w:rsid w:val="00700369"/>
    <w:rsid w:val="0071143D"/>
    <w:rsid w:val="00753BB4"/>
    <w:rsid w:val="00780278"/>
    <w:rsid w:val="00784E00"/>
    <w:rsid w:val="00797DF4"/>
    <w:rsid w:val="007C4E3C"/>
    <w:rsid w:val="007C797F"/>
    <w:rsid w:val="007D5CA9"/>
    <w:rsid w:val="0081750A"/>
    <w:rsid w:val="0082775E"/>
    <w:rsid w:val="00860437"/>
    <w:rsid w:val="008668E9"/>
    <w:rsid w:val="00885A5D"/>
    <w:rsid w:val="008933CA"/>
    <w:rsid w:val="008971D4"/>
    <w:rsid w:val="008B5658"/>
    <w:rsid w:val="008C7876"/>
    <w:rsid w:val="008E000D"/>
    <w:rsid w:val="009123E0"/>
    <w:rsid w:val="0092589E"/>
    <w:rsid w:val="0094086D"/>
    <w:rsid w:val="0095454A"/>
    <w:rsid w:val="00957F89"/>
    <w:rsid w:val="00967D78"/>
    <w:rsid w:val="00974700"/>
    <w:rsid w:val="009842FC"/>
    <w:rsid w:val="009A3D8D"/>
    <w:rsid w:val="009A53E0"/>
    <w:rsid w:val="009D4BDD"/>
    <w:rsid w:val="009E6BF2"/>
    <w:rsid w:val="00A16572"/>
    <w:rsid w:val="00A243D5"/>
    <w:rsid w:val="00A61073"/>
    <w:rsid w:val="00AA0C12"/>
    <w:rsid w:val="00AB58E4"/>
    <w:rsid w:val="00AE4AD3"/>
    <w:rsid w:val="00AE6EA3"/>
    <w:rsid w:val="00B364D0"/>
    <w:rsid w:val="00B4188A"/>
    <w:rsid w:val="00B43112"/>
    <w:rsid w:val="00B46A17"/>
    <w:rsid w:val="00B57DCB"/>
    <w:rsid w:val="00B805DF"/>
    <w:rsid w:val="00B825C7"/>
    <w:rsid w:val="00BA3529"/>
    <w:rsid w:val="00BB01A4"/>
    <w:rsid w:val="00BC562D"/>
    <w:rsid w:val="00BE2E95"/>
    <w:rsid w:val="00BF744F"/>
    <w:rsid w:val="00C14A6F"/>
    <w:rsid w:val="00C157E1"/>
    <w:rsid w:val="00C33650"/>
    <w:rsid w:val="00C36195"/>
    <w:rsid w:val="00C417E8"/>
    <w:rsid w:val="00C50CCB"/>
    <w:rsid w:val="00C710B3"/>
    <w:rsid w:val="00C712DC"/>
    <w:rsid w:val="00C843E8"/>
    <w:rsid w:val="00CA2E57"/>
    <w:rsid w:val="00CC4FCC"/>
    <w:rsid w:val="00CE53B4"/>
    <w:rsid w:val="00D413BD"/>
    <w:rsid w:val="00D51406"/>
    <w:rsid w:val="00D61C61"/>
    <w:rsid w:val="00D65BD4"/>
    <w:rsid w:val="00DA2CE6"/>
    <w:rsid w:val="00DB5989"/>
    <w:rsid w:val="00DE02A0"/>
    <w:rsid w:val="00DF4BE6"/>
    <w:rsid w:val="00E13AA7"/>
    <w:rsid w:val="00E454C7"/>
    <w:rsid w:val="00E516F6"/>
    <w:rsid w:val="00E63470"/>
    <w:rsid w:val="00E80F74"/>
    <w:rsid w:val="00EA537D"/>
    <w:rsid w:val="00EB4334"/>
    <w:rsid w:val="00EC0448"/>
    <w:rsid w:val="00ED068C"/>
    <w:rsid w:val="00EE017B"/>
    <w:rsid w:val="00EF63ED"/>
    <w:rsid w:val="00F01F91"/>
    <w:rsid w:val="00F50EA2"/>
    <w:rsid w:val="00F653D6"/>
    <w:rsid w:val="00FA20A8"/>
    <w:rsid w:val="00FB6CED"/>
    <w:rsid w:val="00FC644C"/>
    <w:rsid w:val="00FE0C41"/>
    <w:rsid w:val="00FE77B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78F9"/>
  <w15:docId w15:val="{66093063-C132-402D-9B12-05E023F3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BDCManualBody">
    <w:name w:val="SBDC Manual Body"/>
    <w:basedOn w:val="Normal"/>
    <w:qFormat/>
    <w:rsid w:val="008B5658"/>
    <w:pPr>
      <w:tabs>
        <w:tab w:val="left" w:pos="993"/>
        <w:tab w:val="left" w:pos="2520"/>
      </w:tabs>
      <w:autoSpaceDE w:val="0"/>
      <w:autoSpaceDN w:val="0"/>
      <w:adjustRightInd w:val="0"/>
      <w:spacing w:after="220" w:line="281" w:lineRule="auto"/>
      <w:jc w:val="both"/>
    </w:pPr>
    <w:rPr>
      <w:rFonts w:ascii="Times New Roman" w:eastAsia="Times New Roman" w:hAnsi="Times New Roman" w:cs="Arial"/>
      <w:sz w:val="24"/>
      <w:lang w:val="es-ES_tradnl"/>
    </w:rPr>
  </w:style>
  <w:style w:type="table" w:styleId="Tablaconcuadrcula">
    <w:name w:val="Table Grid"/>
    <w:basedOn w:val="Tablanormal"/>
    <w:uiPriority w:val="59"/>
    <w:rsid w:val="008B5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8B565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1E04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49F"/>
    <w:rPr>
      <w:rFonts w:ascii="Tahoma" w:hAnsi="Tahoma" w:cs="Tahoma"/>
      <w:sz w:val="16"/>
      <w:szCs w:val="16"/>
    </w:rPr>
  </w:style>
  <w:style w:type="paragraph" w:styleId="Encabezado">
    <w:name w:val="header"/>
    <w:basedOn w:val="Normal"/>
    <w:link w:val="EncabezadoCar"/>
    <w:uiPriority w:val="99"/>
    <w:unhideWhenUsed/>
    <w:rsid w:val="00753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3BB4"/>
  </w:style>
  <w:style w:type="paragraph" w:styleId="Piedepgina">
    <w:name w:val="footer"/>
    <w:basedOn w:val="Normal"/>
    <w:link w:val="PiedepginaCar"/>
    <w:uiPriority w:val="99"/>
    <w:unhideWhenUsed/>
    <w:rsid w:val="00753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3BB4"/>
  </w:style>
  <w:style w:type="paragraph" w:styleId="Prrafodelista">
    <w:name w:val="List Paragraph"/>
    <w:basedOn w:val="Normal"/>
    <w:uiPriority w:val="34"/>
    <w:qFormat/>
    <w:rsid w:val="008C7876"/>
    <w:pPr>
      <w:spacing w:after="240" w:line="240" w:lineRule="auto"/>
      <w:ind w:left="720"/>
      <w:contextualSpacing/>
    </w:pPr>
    <w:rPr>
      <w:rFonts w:ascii="Times New Roman" w:eastAsia="Times New Roman" w:hAnsi="Times New Roman" w:cs="Times New Roman"/>
      <w:szCs w:val="24"/>
      <w:lang w:val="es-ES_tradnl"/>
    </w:rPr>
  </w:style>
  <w:style w:type="table" w:styleId="Cuadrculaclara-nfasis1">
    <w:name w:val="Light Grid Accent 1"/>
    <w:basedOn w:val="Tablanormal"/>
    <w:uiPriority w:val="62"/>
    <w:rsid w:val="0032277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Refdecomentario">
    <w:name w:val="annotation reference"/>
    <w:basedOn w:val="Fuentedeprrafopredeter"/>
    <w:uiPriority w:val="99"/>
    <w:semiHidden/>
    <w:unhideWhenUsed/>
    <w:rsid w:val="006055F1"/>
    <w:rPr>
      <w:sz w:val="16"/>
      <w:szCs w:val="16"/>
    </w:rPr>
  </w:style>
  <w:style w:type="paragraph" w:styleId="Textocomentario">
    <w:name w:val="annotation text"/>
    <w:basedOn w:val="Normal"/>
    <w:link w:val="TextocomentarioCar"/>
    <w:uiPriority w:val="99"/>
    <w:semiHidden/>
    <w:unhideWhenUsed/>
    <w:rsid w:val="006055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55F1"/>
    <w:rPr>
      <w:sz w:val="20"/>
      <w:szCs w:val="20"/>
    </w:rPr>
  </w:style>
  <w:style w:type="paragraph" w:styleId="Asuntodelcomentario">
    <w:name w:val="annotation subject"/>
    <w:basedOn w:val="Textocomentario"/>
    <w:next w:val="Textocomentario"/>
    <w:link w:val="AsuntodelcomentarioCar"/>
    <w:uiPriority w:val="99"/>
    <w:semiHidden/>
    <w:unhideWhenUsed/>
    <w:rsid w:val="006055F1"/>
    <w:rPr>
      <w:b/>
      <w:bCs/>
    </w:rPr>
  </w:style>
  <w:style w:type="character" w:customStyle="1" w:styleId="AsuntodelcomentarioCar">
    <w:name w:val="Asunto del comentario Car"/>
    <w:basedOn w:val="TextocomentarioCar"/>
    <w:link w:val="Asuntodelcomentario"/>
    <w:uiPriority w:val="99"/>
    <w:semiHidden/>
    <w:rsid w:val="006055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0596">
      <w:bodyDiv w:val="1"/>
      <w:marLeft w:val="0"/>
      <w:marRight w:val="0"/>
      <w:marTop w:val="0"/>
      <w:marBottom w:val="0"/>
      <w:divBdr>
        <w:top w:val="none" w:sz="0" w:space="0" w:color="auto"/>
        <w:left w:val="none" w:sz="0" w:space="0" w:color="auto"/>
        <w:bottom w:val="none" w:sz="0" w:space="0" w:color="auto"/>
        <w:right w:val="none" w:sz="0" w:space="0" w:color="auto"/>
      </w:divBdr>
    </w:div>
    <w:div w:id="938565301">
      <w:bodyDiv w:val="1"/>
      <w:marLeft w:val="0"/>
      <w:marRight w:val="0"/>
      <w:marTop w:val="0"/>
      <w:marBottom w:val="0"/>
      <w:divBdr>
        <w:top w:val="none" w:sz="0" w:space="0" w:color="auto"/>
        <w:left w:val="none" w:sz="0" w:space="0" w:color="auto"/>
        <w:bottom w:val="none" w:sz="0" w:space="0" w:color="auto"/>
        <w:right w:val="none" w:sz="0" w:space="0" w:color="auto"/>
      </w:divBdr>
    </w:div>
    <w:div w:id="1071267975">
      <w:bodyDiv w:val="1"/>
      <w:marLeft w:val="0"/>
      <w:marRight w:val="0"/>
      <w:marTop w:val="0"/>
      <w:marBottom w:val="0"/>
      <w:divBdr>
        <w:top w:val="none" w:sz="0" w:space="0" w:color="auto"/>
        <w:left w:val="none" w:sz="0" w:space="0" w:color="auto"/>
        <w:bottom w:val="none" w:sz="0" w:space="0" w:color="auto"/>
        <w:right w:val="none" w:sz="0" w:space="0" w:color="auto"/>
      </w:divBdr>
    </w:div>
    <w:div w:id="1210648461">
      <w:bodyDiv w:val="1"/>
      <w:marLeft w:val="0"/>
      <w:marRight w:val="0"/>
      <w:marTop w:val="0"/>
      <w:marBottom w:val="0"/>
      <w:divBdr>
        <w:top w:val="none" w:sz="0" w:space="0" w:color="auto"/>
        <w:left w:val="none" w:sz="0" w:space="0" w:color="auto"/>
        <w:bottom w:val="none" w:sz="0" w:space="0" w:color="auto"/>
        <w:right w:val="none" w:sz="0" w:space="0" w:color="auto"/>
      </w:divBdr>
    </w:div>
    <w:div w:id="197055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0255C-833A-499C-B35C-59EDDD27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2198</Words>
  <Characters>12091</Characters>
  <Application>Microsoft Office Word</Application>
  <DocSecurity>4</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Barahona Gaete</dc:creator>
  <cp:lastModifiedBy>Felipe De La Maza Sepulveda</cp:lastModifiedBy>
  <cp:revision>2</cp:revision>
  <cp:lastPrinted>2017-01-23T14:15:00Z</cp:lastPrinted>
  <dcterms:created xsi:type="dcterms:W3CDTF">2017-09-11T13:07:00Z</dcterms:created>
  <dcterms:modified xsi:type="dcterms:W3CDTF">2017-09-11T13:07:00Z</dcterms:modified>
</cp:coreProperties>
</file>