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7"/>
        <w:gridCol w:w="7161"/>
        <w:tblGridChange w:id="0">
          <w:tblGrid>
            <w:gridCol w:w="1667"/>
            <w:gridCol w:w="7161"/>
          </w:tblGrid>
        </w:tblGridChange>
      </w:tblGrid>
      <w:tr>
        <w:tc>
          <w:tcPr/>
          <w:p w:rsidR="00000000" w:rsidDel="00000000" w:rsidP="00000000" w:rsidRDefault="00000000" w:rsidRPr="00000000" w14:paraId="00000001">
            <w:pPr>
              <w:jc w:val="both"/>
              <w:rPr/>
            </w:pPr>
            <w:r w:rsidDel="00000000" w:rsidR="00000000" w:rsidRPr="00000000">
              <w:rPr>
                <w:rtl w:val="0"/>
              </w:rPr>
              <w:t xml:space="preserve">REGIÓN</w:t>
            </w:r>
          </w:p>
        </w:tc>
        <w:tc>
          <w:tcPr/>
          <w:p w:rsidR="00000000" w:rsidDel="00000000" w:rsidP="00000000" w:rsidRDefault="00000000" w:rsidRPr="00000000" w14:paraId="00000002">
            <w:pPr>
              <w:jc w:val="both"/>
              <w:rPr/>
            </w:pPr>
            <w:r w:rsidDel="00000000" w:rsidR="00000000" w:rsidRPr="00000000">
              <w:rPr>
                <w:rtl w:val="0"/>
              </w:rPr>
              <w:t xml:space="preserve">MAULE</w:t>
            </w:r>
          </w:p>
        </w:tc>
      </w:tr>
      <w:tr>
        <w:tc>
          <w:tcPr/>
          <w:p w:rsidR="00000000" w:rsidDel="00000000" w:rsidP="00000000" w:rsidRDefault="00000000" w:rsidRPr="00000000" w14:paraId="00000003">
            <w:pPr>
              <w:jc w:val="both"/>
              <w:rPr/>
            </w:pPr>
            <w:r w:rsidDel="00000000" w:rsidR="00000000" w:rsidRPr="00000000">
              <w:rPr>
                <w:rtl w:val="0"/>
              </w:rPr>
              <w:t xml:space="preserve">CENTRO</w:t>
            </w:r>
          </w:p>
        </w:tc>
        <w:tc>
          <w:tcPr/>
          <w:p w:rsidR="00000000" w:rsidDel="00000000" w:rsidP="00000000" w:rsidRDefault="00000000" w:rsidRPr="00000000" w14:paraId="00000004">
            <w:pPr>
              <w:jc w:val="both"/>
              <w:rPr/>
            </w:pPr>
            <w:r w:rsidDel="00000000" w:rsidR="00000000" w:rsidRPr="00000000">
              <w:rPr>
                <w:rtl w:val="0"/>
              </w:rPr>
              <w:t xml:space="preserve">CAUQUENES </w:t>
            </w:r>
          </w:p>
        </w:tc>
      </w:tr>
      <w:tr>
        <w:tc>
          <w:tcPr/>
          <w:p w:rsidR="00000000" w:rsidDel="00000000" w:rsidP="00000000" w:rsidRDefault="00000000" w:rsidRPr="00000000" w14:paraId="00000005">
            <w:pPr>
              <w:jc w:val="both"/>
              <w:rPr/>
            </w:pPr>
            <w:r w:rsidDel="00000000" w:rsidR="00000000" w:rsidRPr="00000000">
              <w:rPr>
                <w:rtl w:val="0"/>
              </w:rPr>
              <w:t xml:space="preserve">TEMA CENTRAL</w:t>
            </w:r>
          </w:p>
        </w:tc>
        <w:tc>
          <w:tcPr/>
          <w:p w:rsidR="00000000" w:rsidDel="00000000" w:rsidP="00000000" w:rsidRDefault="00000000" w:rsidRPr="00000000" w14:paraId="00000006">
            <w:pPr>
              <w:jc w:val="both"/>
              <w:rPr/>
            </w:pPr>
            <w:r w:rsidDel="00000000" w:rsidR="00000000" w:rsidRPr="00000000">
              <w:rPr>
                <w:rtl w:val="0"/>
              </w:rPr>
              <w:t xml:space="preserve">AMPLIACIÓN ACUERDO</w:t>
            </w:r>
          </w:p>
        </w:tc>
      </w:tr>
      <w:tr>
        <w:tc>
          <w:tcPr/>
          <w:p w:rsidR="00000000" w:rsidDel="00000000" w:rsidP="00000000" w:rsidRDefault="00000000" w:rsidRPr="00000000" w14:paraId="00000007">
            <w:pPr>
              <w:jc w:val="both"/>
              <w:rPr/>
            </w:pPr>
            <w:r w:rsidDel="00000000" w:rsidR="00000000" w:rsidRPr="00000000">
              <w:rPr>
                <w:rtl w:val="0"/>
              </w:rPr>
              <w:t xml:space="preserve">PARTICIPANTES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line="276" w:lineRule="auto"/>
              <w:jc w:val="both"/>
              <w:rPr/>
            </w:pPr>
            <w:r w:rsidDel="00000000" w:rsidR="00000000" w:rsidRPr="00000000">
              <w:rPr>
                <w:rtl w:val="0"/>
              </w:rPr>
              <w:t xml:space="preserve">Eduvijis Valenzuela Bravo, Ejecutiva de Fomento, Dirección Regional del Maule</w:t>
            </w:r>
          </w:p>
          <w:p w:rsidR="00000000" w:rsidDel="00000000" w:rsidP="00000000" w:rsidRDefault="00000000" w:rsidRPr="00000000" w14:paraId="00000009">
            <w:pPr>
              <w:spacing w:line="276" w:lineRule="auto"/>
              <w:jc w:val="both"/>
              <w:rPr/>
            </w:pPr>
            <w:r w:rsidDel="00000000" w:rsidR="00000000" w:rsidRPr="00000000">
              <w:rPr>
                <w:rtl w:val="0"/>
              </w:rPr>
              <w:t xml:space="preserve">Claudia Rodriguez Zurita, Ejecutiva de Fomento, Dirección Regional del Maule</w:t>
            </w:r>
          </w:p>
          <w:p w:rsidR="00000000" w:rsidDel="00000000" w:rsidP="00000000" w:rsidRDefault="00000000" w:rsidRPr="00000000" w14:paraId="0000000A">
            <w:pPr>
              <w:spacing w:line="276" w:lineRule="auto"/>
              <w:jc w:val="both"/>
              <w:rPr/>
            </w:pPr>
            <w:r w:rsidDel="00000000" w:rsidR="00000000" w:rsidRPr="00000000">
              <w:rPr>
                <w:rtl w:val="0"/>
              </w:rPr>
              <w:t xml:space="preserve">Luis Antonio Berrios, profesional gerencia de Centros.</w:t>
            </w:r>
          </w:p>
          <w:p w:rsidR="00000000" w:rsidDel="00000000" w:rsidP="00000000" w:rsidRDefault="00000000" w:rsidRPr="00000000" w14:paraId="0000000B">
            <w:pPr>
              <w:spacing w:line="276" w:lineRule="auto"/>
              <w:jc w:val="both"/>
              <w:rPr/>
            </w:pPr>
            <w:r w:rsidDel="00000000" w:rsidR="00000000" w:rsidRPr="00000000">
              <w:rPr>
                <w:rtl w:val="0"/>
              </w:rPr>
              <w:t xml:space="preserve">Fabiola Loyola Aceituno, Representante del Operador, Universidad Católica del Maule </w:t>
            </w:r>
          </w:p>
          <w:p w:rsidR="00000000" w:rsidDel="00000000" w:rsidP="00000000" w:rsidRDefault="00000000" w:rsidRPr="00000000" w14:paraId="0000000C">
            <w:pPr>
              <w:spacing w:line="276" w:lineRule="auto"/>
              <w:jc w:val="both"/>
              <w:rPr>
                <w:color w:val="202124"/>
              </w:rPr>
            </w:pPr>
            <w:r w:rsidDel="00000000" w:rsidR="00000000" w:rsidRPr="00000000">
              <w:rPr>
                <w:color w:val="202124"/>
                <w:rtl w:val="0"/>
              </w:rPr>
              <w:t xml:space="preserve">Fabiola Cancino Estay, Profesional Contable Operador, Universidad</w:t>
            </w:r>
            <w:r w:rsidDel="00000000" w:rsidR="00000000" w:rsidRPr="00000000">
              <w:rPr>
                <w:rtl w:val="0"/>
              </w:rPr>
              <w:t xml:space="preserve"> </w:t>
            </w:r>
            <w:r w:rsidDel="00000000" w:rsidR="00000000" w:rsidRPr="00000000">
              <w:rPr>
                <w:color w:val="202124"/>
                <w:rtl w:val="0"/>
              </w:rPr>
              <w:t xml:space="preserve">Católica del Maule</w:t>
            </w:r>
          </w:p>
          <w:p w:rsidR="00000000" w:rsidDel="00000000" w:rsidP="00000000" w:rsidRDefault="00000000" w:rsidRPr="00000000" w14:paraId="0000000D">
            <w:pPr>
              <w:spacing w:line="276" w:lineRule="auto"/>
              <w:jc w:val="both"/>
              <w:rPr/>
            </w:pPr>
            <w:r w:rsidDel="00000000" w:rsidR="00000000" w:rsidRPr="00000000">
              <w:rPr>
                <w:color w:val="202124"/>
                <w:rtl w:val="0"/>
              </w:rPr>
              <w:t xml:space="preserve">Magaly Ramirez M., Asistente Ejecutiva, Centro de Desarrollo de Negocios Cauquenes </w:t>
            </w:r>
            <w:r w:rsidDel="00000000" w:rsidR="00000000" w:rsidRPr="00000000">
              <w:rPr>
                <w:rtl w:val="0"/>
              </w:rPr>
              <w:t xml:space="preserve"> </w:t>
            </w:r>
            <w:r w:rsidDel="00000000" w:rsidR="00000000" w:rsidRPr="00000000">
              <w:rPr>
                <w:rtl w:val="0"/>
              </w:rPr>
            </w:r>
          </w:p>
        </w:tc>
      </w:tr>
      <w:tr>
        <w:trPr>
          <w:trHeight w:val="240" w:hRule="atLeast"/>
        </w:trPr>
        <w:tc>
          <w:tcPr/>
          <w:p w:rsidR="00000000" w:rsidDel="00000000" w:rsidP="00000000" w:rsidRDefault="00000000" w:rsidRPr="00000000" w14:paraId="0000000E">
            <w:pPr>
              <w:jc w:val="both"/>
              <w:rPr/>
            </w:pPr>
            <w:r w:rsidDel="00000000" w:rsidR="00000000" w:rsidRPr="00000000">
              <w:rPr>
                <w:rtl w:val="0"/>
              </w:rPr>
              <w:t xml:space="preserve">FECHA</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276" w:lineRule="auto"/>
              <w:jc w:val="both"/>
              <w:rPr/>
            </w:pPr>
            <w:r w:rsidDel="00000000" w:rsidR="00000000" w:rsidRPr="00000000">
              <w:rPr>
                <w:rtl w:val="0"/>
              </w:rPr>
              <w:t xml:space="preserve">22 de octubre de 2018</w:t>
            </w:r>
            <w:r w:rsidDel="00000000" w:rsidR="00000000" w:rsidRPr="00000000">
              <w:rPr>
                <w:rtl w:val="0"/>
              </w:rPr>
            </w:r>
          </w:p>
        </w:tc>
      </w:tr>
      <w:tr>
        <w:tc>
          <w:tcPr/>
          <w:p w:rsidR="00000000" w:rsidDel="00000000" w:rsidP="00000000" w:rsidRDefault="00000000" w:rsidRPr="00000000" w14:paraId="00000010">
            <w:pPr>
              <w:jc w:val="both"/>
              <w:rPr/>
            </w:pPr>
            <w:r w:rsidDel="00000000" w:rsidR="00000000" w:rsidRPr="00000000">
              <w:rPr>
                <w:rtl w:val="0"/>
              </w:rPr>
              <w:t xml:space="preserve">AUTOR ACTA</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76" w:lineRule="auto"/>
              <w:jc w:val="both"/>
              <w:rPr/>
            </w:pPr>
            <w:r w:rsidDel="00000000" w:rsidR="00000000" w:rsidRPr="00000000">
              <w:rPr>
                <w:rtl w:val="0"/>
              </w:rPr>
              <w:t xml:space="preserve">Eduvijis Valenzuela Bravo</w:t>
            </w:r>
          </w:p>
        </w:tc>
      </w:tr>
    </w:tbl>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u w:val="single"/>
        </w:rPr>
      </w:pPr>
      <w:r w:rsidDel="00000000" w:rsidR="00000000" w:rsidRPr="00000000">
        <w:rPr>
          <w:b w:val="1"/>
          <w:u w:val="single"/>
          <w:rtl w:val="0"/>
        </w:rPr>
        <w:t xml:space="preserve">Antecedentes</w:t>
      </w:r>
    </w:p>
    <w:p w:rsidR="00000000" w:rsidDel="00000000" w:rsidP="00000000" w:rsidRDefault="00000000" w:rsidRPr="00000000" w14:paraId="00000014">
      <w:pPr>
        <w:jc w:val="both"/>
        <w:rPr/>
      </w:pPr>
      <w:r w:rsidDel="00000000" w:rsidR="00000000" w:rsidRPr="00000000">
        <w:rPr>
          <w:rtl w:val="0"/>
        </w:rPr>
        <w:t xml:space="preserve">Atendiendo que con fecha 07 de septiembre de 2018, se dio por desierto el llamado a concurso del Centro de Cauquenes, y considerando que el plazo para llamar a un nuevo concurso para operar este centro supera los tres meses, las partes se ven en la necesidad de ampliar la vigencia del actual acuerdo de desempeño anual, con el objeto de contar con el tiempo necesario para formalizar un nuevo Convenio de agenciamiento para el Centro de Cauquenes.</w:t>
      </w:r>
    </w:p>
    <w:p w:rsidR="00000000" w:rsidDel="00000000" w:rsidP="00000000" w:rsidRDefault="00000000" w:rsidRPr="00000000" w14:paraId="00000015">
      <w:pPr>
        <w:jc w:val="both"/>
        <w:rPr/>
      </w:pPr>
      <w:r w:rsidDel="00000000" w:rsidR="00000000" w:rsidRPr="00000000">
        <w:rPr>
          <w:rtl w:val="0"/>
        </w:rPr>
        <w:t xml:space="preserve">Que, en virtud de lo anterior, se modifica lo siguiente:</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Indicadores: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indicadores se encuentran aprobados y serán parte del acuerdo de desempeño.</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84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1"/>
        <w:gridCol w:w="3983"/>
        <w:gridCol w:w="1701"/>
        <w:gridCol w:w="1250"/>
        <w:tblGridChange w:id="0">
          <w:tblGrid>
            <w:gridCol w:w="1471"/>
            <w:gridCol w:w="3983"/>
            <w:gridCol w:w="1701"/>
            <w:gridCol w:w="1250"/>
          </w:tblGrid>
        </w:tblGridChange>
      </w:tblGrid>
      <w:tr>
        <w:trPr>
          <w:trHeight w:val="300" w:hRule="atLeast"/>
        </w:trPr>
        <w:tc>
          <w:tcPr>
            <w:shd w:fill="d9d9d9" w:val="clear"/>
          </w:tcPr>
          <w:p w:rsidR="00000000" w:rsidDel="00000000" w:rsidP="00000000" w:rsidRDefault="00000000" w:rsidRPr="00000000" w14:paraId="00000018">
            <w:pPr>
              <w:jc w:val="both"/>
              <w:rPr>
                <w:b w:val="1"/>
                <w:color w:val="000000"/>
                <w:sz w:val="20"/>
                <w:szCs w:val="20"/>
              </w:rPr>
            </w:pPr>
            <w:r w:rsidDel="00000000" w:rsidR="00000000" w:rsidRPr="00000000">
              <w:rPr>
                <w:b w:val="1"/>
                <w:color w:val="000000"/>
                <w:sz w:val="20"/>
                <w:szCs w:val="20"/>
                <w:rtl w:val="0"/>
              </w:rPr>
              <w:t xml:space="preserve">INDICADOR</w:t>
            </w:r>
          </w:p>
        </w:tc>
        <w:tc>
          <w:tcPr>
            <w:shd w:fill="d9d9d9" w:val="clear"/>
          </w:tcPr>
          <w:p w:rsidR="00000000" w:rsidDel="00000000" w:rsidP="00000000" w:rsidRDefault="00000000" w:rsidRPr="00000000" w14:paraId="00000019">
            <w:pPr>
              <w:jc w:val="both"/>
              <w:rPr>
                <w:b w:val="1"/>
                <w:color w:val="000000"/>
                <w:sz w:val="20"/>
                <w:szCs w:val="20"/>
              </w:rPr>
            </w:pPr>
            <w:r w:rsidDel="00000000" w:rsidR="00000000" w:rsidRPr="00000000">
              <w:rPr>
                <w:b w:val="1"/>
                <w:color w:val="000000"/>
                <w:sz w:val="20"/>
                <w:szCs w:val="20"/>
                <w:rtl w:val="0"/>
              </w:rPr>
              <w:t xml:space="preserve">DEFINICIÓN</w:t>
            </w:r>
          </w:p>
        </w:tc>
        <w:tc>
          <w:tcPr>
            <w:shd w:fill="d9d9d9" w:val="clear"/>
          </w:tcPr>
          <w:p w:rsidR="00000000" w:rsidDel="00000000" w:rsidP="00000000" w:rsidRDefault="00000000" w:rsidRPr="00000000" w14:paraId="0000001A">
            <w:pPr>
              <w:jc w:val="both"/>
              <w:rPr>
                <w:b w:val="1"/>
                <w:color w:val="000000"/>
                <w:sz w:val="20"/>
                <w:szCs w:val="20"/>
              </w:rPr>
            </w:pPr>
            <w:r w:rsidDel="00000000" w:rsidR="00000000" w:rsidRPr="00000000">
              <w:rPr>
                <w:b w:val="1"/>
                <w:color w:val="000000"/>
                <w:sz w:val="20"/>
                <w:szCs w:val="20"/>
                <w:rtl w:val="0"/>
              </w:rPr>
              <w:t xml:space="preserve">DESCRIPCIÓN DEL INDICADOR</w:t>
            </w:r>
          </w:p>
        </w:tc>
        <w:tc>
          <w:tcPr>
            <w:shd w:fill="d9d9d9" w:val="clear"/>
          </w:tcPr>
          <w:p w:rsidR="00000000" w:rsidDel="00000000" w:rsidP="00000000" w:rsidRDefault="00000000" w:rsidRPr="00000000" w14:paraId="0000001B">
            <w:pPr>
              <w:jc w:val="both"/>
              <w:rPr>
                <w:b w:val="1"/>
                <w:color w:val="000000"/>
                <w:sz w:val="20"/>
                <w:szCs w:val="20"/>
              </w:rPr>
            </w:pPr>
            <w:r w:rsidDel="00000000" w:rsidR="00000000" w:rsidRPr="00000000">
              <w:rPr>
                <w:b w:val="1"/>
                <w:color w:val="000000"/>
                <w:sz w:val="20"/>
                <w:szCs w:val="20"/>
                <w:rtl w:val="0"/>
              </w:rPr>
              <w:t xml:space="preserve">META</w:t>
            </w:r>
          </w:p>
        </w:tc>
      </w:tr>
      <w:tr>
        <w:trPr>
          <w:trHeight w:val="60" w:hRule="atLeast"/>
        </w:trPr>
        <w:tc>
          <w:tcPr/>
          <w:p w:rsidR="00000000" w:rsidDel="00000000" w:rsidP="00000000" w:rsidRDefault="00000000" w:rsidRPr="00000000" w14:paraId="0000001C">
            <w:pPr>
              <w:jc w:val="both"/>
              <w:rPr>
                <w:b w:val="1"/>
                <w:color w:val="000000"/>
                <w:sz w:val="20"/>
                <w:szCs w:val="20"/>
              </w:rPr>
            </w:pPr>
            <w:r w:rsidDel="00000000" w:rsidR="00000000" w:rsidRPr="00000000">
              <w:rPr>
                <w:b w:val="1"/>
                <w:color w:val="000000"/>
                <w:sz w:val="20"/>
                <w:szCs w:val="20"/>
                <w:rtl w:val="0"/>
              </w:rPr>
              <w:t xml:space="preserve">Clientes asesorados en periodo de medición.</w:t>
            </w:r>
          </w:p>
        </w:tc>
        <w:tc>
          <w:tcPr/>
          <w:p w:rsidR="00000000" w:rsidDel="00000000" w:rsidP="00000000" w:rsidRDefault="00000000" w:rsidRPr="00000000" w14:paraId="0000001D">
            <w:pPr>
              <w:jc w:val="both"/>
              <w:rPr>
                <w:color w:val="000000"/>
                <w:sz w:val="20"/>
                <w:szCs w:val="20"/>
              </w:rPr>
            </w:pPr>
            <w:r w:rsidDel="00000000" w:rsidR="00000000" w:rsidRPr="00000000">
              <w:rPr>
                <w:color w:val="000000"/>
                <w:sz w:val="20"/>
                <w:szCs w:val="20"/>
                <w:rtl w:val="0"/>
              </w:rPr>
              <w:t xml:space="preserve">Se considera como cliente asesorado dentro del periodo de medición, aquellos que hayan firmado la solicitud de asesoramiento (D3) en algún momento, y que asimismo tengan sesiones de tipo inicial/nueva o seguimiento, reportables, dentro del periodo de medición (periodo del acuerdo de desempeño vigente) </w:t>
            </w:r>
          </w:p>
        </w:tc>
        <w:tc>
          <w:tcPr/>
          <w:p w:rsidR="00000000" w:rsidDel="00000000" w:rsidP="00000000" w:rsidRDefault="00000000" w:rsidRPr="00000000" w14:paraId="0000001E">
            <w:pPr>
              <w:jc w:val="both"/>
              <w:rPr>
                <w:color w:val="000000"/>
                <w:sz w:val="20"/>
                <w:szCs w:val="20"/>
              </w:rPr>
            </w:pPr>
            <w:r w:rsidDel="00000000" w:rsidR="00000000" w:rsidRPr="00000000">
              <w:rPr>
                <w:color w:val="000000"/>
                <w:sz w:val="20"/>
                <w:szCs w:val="20"/>
                <w:rtl w:val="0"/>
              </w:rPr>
              <w:t xml:space="preserve">Número de clientes asesorados</w:t>
            </w:r>
          </w:p>
        </w:tc>
        <w:tc>
          <w:tcPr/>
          <w:p w:rsidR="00000000" w:rsidDel="00000000" w:rsidP="00000000" w:rsidRDefault="00000000" w:rsidRPr="00000000" w14:paraId="0000001F">
            <w:pPr>
              <w:jc w:val="both"/>
              <w:rPr>
                <w:color w:val="000000"/>
                <w:sz w:val="20"/>
                <w:szCs w:val="20"/>
              </w:rPr>
            </w:pPr>
            <w:r w:rsidDel="00000000" w:rsidR="00000000" w:rsidRPr="00000000">
              <w:rPr>
                <w:rtl w:val="0"/>
              </w:rPr>
              <w:t xml:space="preserve">272</w:t>
            </w:r>
            <w:r w:rsidDel="00000000" w:rsidR="00000000" w:rsidRPr="00000000">
              <w:rPr>
                <w:rtl w:val="0"/>
              </w:rPr>
            </w:r>
          </w:p>
        </w:tc>
      </w:tr>
      <w:tr>
        <w:trPr>
          <w:trHeight w:val="140" w:hRule="atLeast"/>
        </w:trPr>
        <w:tc>
          <w:tcPr/>
          <w:p w:rsidR="00000000" w:rsidDel="00000000" w:rsidP="00000000" w:rsidRDefault="00000000" w:rsidRPr="00000000" w14:paraId="00000020">
            <w:pPr>
              <w:jc w:val="both"/>
              <w:rPr>
                <w:b w:val="1"/>
                <w:color w:val="000000"/>
                <w:sz w:val="20"/>
                <w:szCs w:val="20"/>
              </w:rPr>
            </w:pPr>
            <w:r w:rsidDel="00000000" w:rsidR="00000000" w:rsidRPr="00000000">
              <w:rPr>
                <w:b w:val="1"/>
                <w:color w:val="000000"/>
                <w:sz w:val="20"/>
                <w:szCs w:val="20"/>
                <w:rtl w:val="0"/>
              </w:rPr>
              <w:t xml:space="preserve">Clientes activos con seguimiento presencial</w:t>
            </w:r>
          </w:p>
        </w:tc>
        <w:tc>
          <w:tcPr/>
          <w:p w:rsidR="00000000" w:rsidDel="00000000" w:rsidP="00000000" w:rsidRDefault="00000000" w:rsidRPr="00000000" w14:paraId="00000021">
            <w:pPr>
              <w:jc w:val="both"/>
              <w:rPr>
                <w:color w:val="000000"/>
                <w:sz w:val="20"/>
                <w:szCs w:val="20"/>
              </w:rPr>
            </w:pPr>
            <w:r w:rsidDel="00000000" w:rsidR="00000000" w:rsidRPr="00000000">
              <w:rPr>
                <w:color w:val="000000"/>
                <w:sz w:val="20"/>
                <w:szCs w:val="20"/>
                <w:rtl w:val="0"/>
              </w:rPr>
              <w:t xml:space="preserve">Corresponde al número de clientes asesorados con seguimiento activo y de tipo presencial. </w:t>
              <w:br w:type="textWrapping"/>
              <w:t xml:space="preserve">Contabiliza a aquel cliente que tenga una asesoría inicial/ nueva o de seguimiento en el periodo, y de tipo presencial (Centro cara a cara, Centro Satélite y en la Empresa cara a cara).</w:t>
            </w:r>
          </w:p>
        </w:tc>
        <w:tc>
          <w:tcPr/>
          <w:p w:rsidR="00000000" w:rsidDel="00000000" w:rsidP="00000000" w:rsidRDefault="00000000" w:rsidRPr="00000000" w14:paraId="00000022">
            <w:pPr>
              <w:jc w:val="both"/>
              <w:rPr>
                <w:color w:val="000000"/>
                <w:sz w:val="20"/>
                <w:szCs w:val="20"/>
              </w:rPr>
            </w:pPr>
            <w:r w:rsidDel="00000000" w:rsidR="00000000" w:rsidRPr="00000000">
              <w:rPr>
                <w:color w:val="000000"/>
                <w:sz w:val="20"/>
                <w:szCs w:val="20"/>
                <w:rtl w:val="0"/>
              </w:rPr>
              <w:t xml:space="preserve">Número de clientes activos</w:t>
            </w:r>
          </w:p>
        </w:tc>
        <w:tc>
          <w:tcPr/>
          <w:p w:rsidR="00000000" w:rsidDel="00000000" w:rsidP="00000000" w:rsidRDefault="00000000" w:rsidRPr="00000000" w14:paraId="00000023">
            <w:pPr>
              <w:jc w:val="both"/>
              <w:rPr>
                <w:color w:val="000000"/>
                <w:sz w:val="20"/>
                <w:szCs w:val="20"/>
              </w:rPr>
            </w:pPr>
            <w:r w:rsidDel="00000000" w:rsidR="00000000" w:rsidRPr="00000000">
              <w:rPr>
                <w:rtl w:val="0"/>
              </w:rPr>
              <w:t xml:space="preserve">163</w:t>
            </w:r>
            <w:r w:rsidDel="00000000" w:rsidR="00000000" w:rsidRPr="00000000">
              <w:rPr>
                <w:rtl w:val="0"/>
              </w:rPr>
            </w:r>
          </w:p>
        </w:tc>
      </w:tr>
      <w:tr>
        <w:trPr>
          <w:trHeight w:val="1240" w:hRule="atLeast"/>
        </w:trPr>
        <w:tc>
          <w:tcPr/>
          <w:p w:rsidR="00000000" w:rsidDel="00000000" w:rsidP="00000000" w:rsidRDefault="00000000" w:rsidRPr="00000000" w14:paraId="00000024">
            <w:pPr>
              <w:jc w:val="both"/>
              <w:rPr>
                <w:b w:val="1"/>
                <w:color w:val="000000"/>
                <w:sz w:val="20"/>
                <w:szCs w:val="20"/>
              </w:rPr>
            </w:pPr>
            <w:r w:rsidDel="00000000" w:rsidR="00000000" w:rsidRPr="00000000">
              <w:rPr>
                <w:b w:val="1"/>
                <w:color w:val="000000"/>
                <w:sz w:val="20"/>
                <w:szCs w:val="20"/>
                <w:rtl w:val="0"/>
              </w:rPr>
              <w:t xml:space="preserve">Empresas con aumento de ventas en el periodo de medición</w:t>
            </w:r>
          </w:p>
        </w:tc>
        <w:tc>
          <w:tcPr/>
          <w:p w:rsidR="00000000" w:rsidDel="00000000" w:rsidP="00000000" w:rsidRDefault="00000000" w:rsidRPr="00000000" w14:paraId="00000025">
            <w:pPr>
              <w:jc w:val="both"/>
              <w:rPr>
                <w:color w:val="000000"/>
                <w:sz w:val="20"/>
                <w:szCs w:val="20"/>
              </w:rPr>
            </w:pPr>
            <w:r w:rsidDel="00000000" w:rsidR="00000000" w:rsidRPr="00000000">
              <w:rPr>
                <w:color w:val="000000"/>
                <w:sz w:val="20"/>
                <w:szCs w:val="20"/>
                <w:rtl w:val="0"/>
              </w:rPr>
              <w:t xml:space="preserve">Considera aquellos clientes, que como resultado de la asesoría hayan manifestado un aumento de ventas, dentro del periodo de medición, y fruto de la intervención del centro. </w:t>
            </w:r>
          </w:p>
        </w:tc>
        <w:tc>
          <w:tcPr/>
          <w:p w:rsidR="00000000" w:rsidDel="00000000" w:rsidP="00000000" w:rsidRDefault="00000000" w:rsidRPr="00000000" w14:paraId="00000026">
            <w:pPr>
              <w:jc w:val="both"/>
              <w:rPr>
                <w:color w:val="000000"/>
                <w:sz w:val="20"/>
                <w:szCs w:val="20"/>
              </w:rPr>
            </w:pPr>
            <w:r w:rsidDel="00000000" w:rsidR="00000000" w:rsidRPr="00000000">
              <w:rPr>
                <w:color w:val="000000"/>
                <w:sz w:val="20"/>
                <w:szCs w:val="20"/>
                <w:rtl w:val="0"/>
              </w:rPr>
              <w:t xml:space="preserve">Número de empresas con aumento de venta</w:t>
            </w:r>
          </w:p>
        </w:tc>
        <w:tc>
          <w:tcPr/>
          <w:p w:rsidR="00000000" w:rsidDel="00000000" w:rsidP="00000000" w:rsidRDefault="00000000" w:rsidRPr="00000000" w14:paraId="00000027">
            <w:pPr>
              <w:jc w:val="both"/>
              <w:rPr>
                <w:color w:val="000000"/>
                <w:sz w:val="20"/>
                <w:szCs w:val="20"/>
              </w:rPr>
            </w:pPr>
            <w:r w:rsidDel="00000000" w:rsidR="00000000" w:rsidRPr="00000000">
              <w:rPr>
                <w:rtl w:val="0"/>
              </w:rPr>
              <w:t xml:space="preserve">69</w:t>
            </w:r>
            <w:r w:rsidDel="00000000" w:rsidR="00000000" w:rsidRPr="00000000">
              <w:rPr>
                <w:rtl w:val="0"/>
              </w:rPr>
            </w:r>
          </w:p>
        </w:tc>
      </w:tr>
      <w:tr>
        <w:trPr>
          <w:trHeight w:val="60" w:hRule="atLeast"/>
        </w:trPr>
        <w:tc>
          <w:tcPr/>
          <w:p w:rsidR="00000000" w:rsidDel="00000000" w:rsidP="00000000" w:rsidRDefault="00000000" w:rsidRPr="00000000" w14:paraId="00000028">
            <w:pPr>
              <w:jc w:val="both"/>
              <w:rPr>
                <w:b w:val="1"/>
                <w:color w:val="000000"/>
                <w:sz w:val="20"/>
                <w:szCs w:val="20"/>
              </w:rPr>
            </w:pPr>
            <w:r w:rsidDel="00000000" w:rsidR="00000000" w:rsidRPr="00000000">
              <w:rPr>
                <w:b w:val="1"/>
                <w:color w:val="000000"/>
                <w:sz w:val="20"/>
                <w:szCs w:val="20"/>
                <w:rtl w:val="0"/>
              </w:rPr>
              <w:t xml:space="preserve">Nuevos empleos formales generados en el periodo de medición</w:t>
            </w:r>
          </w:p>
        </w:tc>
        <w:tc>
          <w:tcPr/>
          <w:p w:rsidR="00000000" w:rsidDel="00000000" w:rsidP="00000000" w:rsidRDefault="00000000" w:rsidRPr="00000000" w14:paraId="00000029">
            <w:pPr>
              <w:jc w:val="both"/>
              <w:rPr>
                <w:color w:val="000000"/>
                <w:sz w:val="20"/>
                <w:szCs w:val="20"/>
              </w:rPr>
            </w:pPr>
            <w:r w:rsidDel="00000000" w:rsidR="00000000" w:rsidRPr="00000000">
              <w:rPr>
                <w:color w:val="000000"/>
                <w:sz w:val="20"/>
                <w:szCs w:val="20"/>
                <w:rtl w:val="0"/>
              </w:rPr>
              <w:t xml:space="preserve">Mide el número de empleos formales generados por los clientes como resultado de la asesoría, ya sea indefinido, plazo fijo, honorarios, part time, tiempo completo, temporal, autoempleo, etc, dentro del periodo de medición.</w:t>
            </w:r>
          </w:p>
        </w:tc>
        <w:tc>
          <w:tcPr/>
          <w:p w:rsidR="00000000" w:rsidDel="00000000" w:rsidP="00000000" w:rsidRDefault="00000000" w:rsidRPr="00000000" w14:paraId="0000002A">
            <w:pPr>
              <w:jc w:val="both"/>
              <w:rPr>
                <w:color w:val="000000"/>
                <w:sz w:val="20"/>
                <w:szCs w:val="20"/>
              </w:rPr>
            </w:pPr>
            <w:r w:rsidDel="00000000" w:rsidR="00000000" w:rsidRPr="00000000">
              <w:rPr>
                <w:color w:val="000000"/>
                <w:sz w:val="20"/>
                <w:szCs w:val="20"/>
                <w:rtl w:val="0"/>
              </w:rPr>
              <w:t xml:space="preserve">Número de empleos formales</w:t>
            </w:r>
          </w:p>
        </w:tc>
        <w:tc>
          <w:tcPr/>
          <w:p w:rsidR="00000000" w:rsidDel="00000000" w:rsidP="00000000" w:rsidRDefault="00000000" w:rsidRPr="00000000" w14:paraId="0000002B">
            <w:pPr>
              <w:jc w:val="both"/>
              <w:rPr>
                <w:color w:val="000000"/>
                <w:sz w:val="20"/>
                <w:szCs w:val="20"/>
              </w:rPr>
            </w:pPr>
            <w:r w:rsidDel="00000000" w:rsidR="00000000" w:rsidRPr="00000000">
              <w:rPr>
                <w:rtl w:val="0"/>
              </w:rPr>
              <w:t xml:space="preserve">24</w:t>
            </w:r>
            <w:r w:rsidDel="00000000" w:rsidR="00000000" w:rsidRPr="00000000">
              <w:rPr>
                <w:rtl w:val="0"/>
              </w:rPr>
            </w:r>
          </w:p>
        </w:tc>
      </w:tr>
      <w:tr>
        <w:trPr>
          <w:trHeight w:val="60" w:hRule="atLeast"/>
        </w:trPr>
        <w:tc>
          <w:tcPr/>
          <w:p w:rsidR="00000000" w:rsidDel="00000000" w:rsidP="00000000" w:rsidRDefault="00000000" w:rsidRPr="00000000" w14:paraId="0000002C">
            <w:pPr>
              <w:jc w:val="both"/>
              <w:rPr>
                <w:b w:val="1"/>
                <w:color w:val="000000"/>
                <w:sz w:val="20"/>
                <w:szCs w:val="20"/>
              </w:rPr>
            </w:pPr>
            <w:r w:rsidDel="00000000" w:rsidR="00000000" w:rsidRPr="00000000">
              <w:rPr>
                <w:b w:val="1"/>
                <w:color w:val="000000"/>
                <w:sz w:val="20"/>
                <w:szCs w:val="20"/>
                <w:rtl w:val="0"/>
              </w:rPr>
              <w:t xml:space="preserve">Monto de financiamiento privado y aprobado en el periodo de medición</w:t>
            </w:r>
          </w:p>
        </w:tc>
        <w:tc>
          <w:tcPr/>
          <w:p w:rsidR="00000000" w:rsidDel="00000000" w:rsidP="00000000" w:rsidRDefault="00000000" w:rsidRPr="00000000" w14:paraId="0000002D">
            <w:pPr>
              <w:jc w:val="both"/>
              <w:rPr>
                <w:color w:val="000000"/>
                <w:sz w:val="20"/>
                <w:szCs w:val="20"/>
              </w:rPr>
            </w:pPr>
            <w:r w:rsidDel="00000000" w:rsidR="00000000" w:rsidRPr="00000000">
              <w:rPr>
                <w:color w:val="000000"/>
                <w:sz w:val="20"/>
                <w:szCs w:val="20"/>
                <w:rtl w:val="0"/>
              </w:rPr>
              <w:t xml:space="preserve">Mide los recursos levantados por los clientes, para realizar Inversiones durante el proceso de atención y/o como resultado de la asesoría. Estas inversiones deben ser de tipo privadas y en estado aprobadas, dentro del periodo de medición.</w:t>
            </w:r>
          </w:p>
        </w:tc>
        <w:tc>
          <w:tcPr/>
          <w:p w:rsidR="00000000" w:rsidDel="00000000" w:rsidP="00000000" w:rsidRDefault="00000000" w:rsidRPr="00000000" w14:paraId="0000002E">
            <w:pPr>
              <w:jc w:val="both"/>
              <w:rPr>
                <w:color w:val="000000"/>
                <w:sz w:val="20"/>
                <w:szCs w:val="20"/>
              </w:rPr>
            </w:pPr>
            <w:r w:rsidDel="00000000" w:rsidR="00000000" w:rsidRPr="00000000">
              <w:rPr>
                <w:color w:val="000000"/>
                <w:sz w:val="20"/>
                <w:szCs w:val="20"/>
                <w:rtl w:val="0"/>
              </w:rPr>
              <w:t xml:space="preserve">Monto de inversión</w:t>
            </w:r>
          </w:p>
        </w:tc>
        <w:tc>
          <w:tcPr/>
          <w:p w:rsidR="00000000" w:rsidDel="00000000" w:rsidP="00000000" w:rsidRDefault="00000000" w:rsidRPr="00000000" w14:paraId="0000002F">
            <w:pPr>
              <w:jc w:val="both"/>
              <w:rPr>
                <w:color w:val="000000"/>
                <w:sz w:val="20"/>
                <w:szCs w:val="20"/>
              </w:rPr>
            </w:pPr>
            <w:r w:rsidDel="00000000" w:rsidR="00000000" w:rsidRPr="00000000">
              <w:rPr>
                <w:rtl w:val="0"/>
              </w:rPr>
              <w:t xml:space="preserve">46.200.000</w:t>
            </w:r>
            <w:r w:rsidDel="00000000" w:rsidR="00000000" w:rsidRPr="00000000">
              <w:rPr>
                <w:rtl w:val="0"/>
              </w:rPr>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Presupuesto: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aprueba presupuesto que será incorporado en el Acuerdo de Desempeño, según la siguiente distribución: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1652"/>
        <w:gridCol w:w="763"/>
        <w:gridCol w:w="1794.0000000000005"/>
        <w:gridCol w:w="785.9999999999997"/>
        <w:gridCol w:w="1560"/>
        <w:tblGridChange w:id="0">
          <w:tblGrid>
            <w:gridCol w:w="2370"/>
            <w:gridCol w:w="1652"/>
            <w:gridCol w:w="763"/>
            <w:gridCol w:w="1794.0000000000005"/>
            <w:gridCol w:w="785.9999999999997"/>
            <w:gridCol w:w="1560"/>
          </w:tblGrid>
        </w:tblGridChange>
      </w:tblGrid>
      <w:tr>
        <w:trPr>
          <w:trHeight w:val="480" w:hRule="atLeast"/>
        </w:trPr>
        <w:tc>
          <w:tcPr/>
          <w:p w:rsidR="00000000" w:rsidDel="00000000" w:rsidP="00000000" w:rsidRDefault="00000000" w:rsidRPr="00000000" w14:paraId="00000035">
            <w:pPr>
              <w:jc w:val="both"/>
              <w:rPr>
                <w:b w:val="1"/>
                <w:highlight w:val="white"/>
              </w:rPr>
            </w:pPr>
            <w:r w:rsidDel="00000000" w:rsidR="00000000" w:rsidRPr="00000000">
              <w:rPr>
                <w:b w:val="1"/>
                <w:highlight w:val="white"/>
                <w:rtl w:val="0"/>
              </w:rPr>
              <w:t xml:space="preserve">Ítem</w:t>
            </w:r>
          </w:p>
        </w:tc>
        <w:tc>
          <w:tcPr>
            <w:gridSpan w:val="2"/>
          </w:tcPr>
          <w:p w:rsidR="00000000" w:rsidDel="00000000" w:rsidP="00000000" w:rsidRDefault="00000000" w:rsidRPr="00000000" w14:paraId="00000036">
            <w:pPr>
              <w:jc w:val="both"/>
              <w:rPr>
                <w:b w:val="1"/>
                <w:highlight w:val="white"/>
              </w:rPr>
            </w:pPr>
            <w:r w:rsidDel="00000000" w:rsidR="00000000" w:rsidRPr="00000000">
              <w:rPr>
                <w:b w:val="1"/>
                <w:highlight w:val="white"/>
                <w:rtl w:val="0"/>
              </w:rPr>
              <w:t xml:space="preserve">Aporte Sercotec $</w:t>
            </w:r>
          </w:p>
        </w:tc>
        <w:tc>
          <w:tcPr>
            <w:gridSpan w:val="2"/>
          </w:tcPr>
          <w:p w:rsidR="00000000" w:rsidDel="00000000" w:rsidP="00000000" w:rsidRDefault="00000000" w:rsidRPr="00000000" w14:paraId="00000038">
            <w:pPr>
              <w:jc w:val="both"/>
              <w:rPr>
                <w:b w:val="1"/>
                <w:highlight w:val="white"/>
              </w:rPr>
            </w:pPr>
            <w:r w:rsidDel="00000000" w:rsidR="00000000" w:rsidRPr="00000000">
              <w:rPr>
                <w:b w:val="1"/>
                <w:highlight w:val="white"/>
                <w:rtl w:val="0"/>
              </w:rPr>
              <w:t xml:space="preserve">Aporte Operador $</w:t>
            </w:r>
          </w:p>
        </w:tc>
        <w:tc>
          <w:tcPr/>
          <w:p w:rsidR="00000000" w:rsidDel="00000000" w:rsidP="00000000" w:rsidRDefault="00000000" w:rsidRPr="00000000" w14:paraId="0000003A">
            <w:pPr>
              <w:jc w:val="both"/>
              <w:rPr>
                <w:b w:val="1"/>
                <w:highlight w:val="white"/>
              </w:rPr>
            </w:pPr>
            <w:r w:rsidDel="00000000" w:rsidR="00000000" w:rsidRPr="00000000">
              <w:rPr>
                <w:b w:val="1"/>
                <w:highlight w:val="white"/>
                <w:rtl w:val="0"/>
              </w:rPr>
              <w:t xml:space="preserve">Total $</w:t>
            </w:r>
          </w:p>
        </w:tc>
      </w:tr>
      <w:tr>
        <w:trPr>
          <w:trHeight w:val="540" w:hRule="atLeast"/>
        </w:trPr>
        <w:tc>
          <w:tcPr/>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0"/>
                <w:smallCaps w:val="0"/>
                <w:strike w:val="0"/>
                <w:color w:val="000000"/>
                <w:sz w:val="22"/>
                <w:szCs w:val="22"/>
                <w:highlight w:val="whit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Operación y RRHH</w:t>
            </w:r>
          </w:p>
        </w:tc>
        <w:tc>
          <w:tcPr/>
          <w:p w:rsidR="00000000" w:rsidDel="00000000" w:rsidP="00000000" w:rsidRDefault="00000000" w:rsidRPr="00000000" w14:paraId="0000003C">
            <w:pPr>
              <w:jc w:val="both"/>
              <w:rPr>
                <w:b w:val="1"/>
                <w:highlight w:val="white"/>
              </w:rPr>
            </w:pPr>
            <w:r w:rsidDel="00000000" w:rsidR="00000000" w:rsidRPr="00000000">
              <w:rPr>
                <w:b w:val="1"/>
                <w:highlight w:val="white"/>
                <w:rtl w:val="0"/>
              </w:rPr>
              <w:t xml:space="preserve">$    223.493.995 </w:t>
            </w:r>
          </w:p>
          <w:p w:rsidR="00000000" w:rsidDel="00000000" w:rsidP="00000000" w:rsidRDefault="00000000" w:rsidRPr="00000000" w14:paraId="0000003D">
            <w:pPr>
              <w:jc w:val="both"/>
              <w:rPr>
                <w:highlight w:val="white"/>
              </w:rPr>
            </w:pPr>
            <w:r w:rsidDel="00000000" w:rsidR="00000000" w:rsidRPr="00000000">
              <w:rPr>
                <w:rtl w:val="0"/>
              </w:rPr>
            </w:r>
          </w:p>
        </w:tc>
        <w:tc>
          <w:tcPr/>
          <w:p w:rsidR="00000000" w:rsidDel="00000000" w:rsidP="00000000" w:rsidRDefault="00000000" w:rsidRPr="00000000" w14:paraId="0000003E">
            <w:pPr>
              <w:jc w:val="both"/>
              <w:rPr>
                <w:highlight w:val="white"/>
              </w:rPr>
            </w:pPr>
            <w:r w:rsidDel="00000000" w:rsidR="00000000" w:rsidRPr="00000000">
              <w:rPr>
                <w:highlight w:val="white"/>
                <w:rtl w:val="0"/>
              </w:rPr>
              <w:t xml:space="preserve">87%</w:t>
            </w:r>
          </w:p>
        </w:tc>
        <w:tc>
          <w:tcPr/>
          <w:p w:rsidR="00000000" w:rsidDel="00000000" w:rsidP="00000000" w:rsidRDefault="00000000" w:rsidRPr="00000000" w14:paraId="0000003F">
            <w:pPr>
              <w:jc w:val="both"/>
              <w:rPr>
                <w:b w:val="1"/>
                <w:highlight w:val="white"/>
              </w:rPr>
            </w:pPr>
            <w:r w:rsidDel="00000000" w:rsidR="00000000" w:rsidRPr="00000000">
              <w:rPr>
                <w:b w:val="1"/>
                <w:highlight w:val="white"/>
                <w:rtl w:val="0"/>
              </w:rPr>
              <w:t xml:space="preserve">$     33.575.303 </w:t>
            </w:r>
          </w:p>
          <w:p w:rsidR="00000000" w:rsidDel="00000000" w:rsidP="00000000" w:rsidRDefault="00000000" w:rsidRPr="00000000" w14:paraId="00000040">
            <w:pPr>
              <w:jc w:val="both"/>
              <w:rPr>
                <w:highlight w:val="white"/>
              </w:rPr>
            </w:pPr>
            <w:r w:rsidDel="00000000" w:rsidR="00000000" w:rsidRPr="00000000">
              <w:rPr>
                <w:rtl w:val="0"/>
              </w:rPr>
            </w:r>
          </w:p>
        </w:tc>
        <w:tc>
          <w:tcPr/>
          <w:p w:rsidR="00000000" w:rsidDel="00000000" w:rsidP="00000000" w:rsidRDefault="00000000" w:rsidRPr="00000000" w14:paraId="00000041">
            <w:pPr>
              <w:jc w:val="both"/>
              <w:rPr>
                <w:highlight w:val="white"/>
              </w:rPr>
            </w:pPr>
            <w:r w:rsidDel="00000000" w:rsidR="00000000" w:rsidRPr="00000000">
              <w:rPr>
                <w:highlight w:val="white"/>
                <w:rtl w:val="0"/>
              </w:rPr>
              <w:t xml:space="preserve">13%</w:t>
            </w:r>
          </w:p>
        </w:tc>
        <w:tc>
          <w:tcPr/>
          <w:p w:rsidR="00000000" w:rsidDel="00000000" w:rsidP="00000000" w:rsidRDefault="00000000" w:rsidRPr="00000000" w14:paraId="00000042">
            <w:pPr>
              <w:jc w:val="both"/>
              <w:rPr>
                <w:highlight w:val="white"/>
              </w:rPr>
            </w:pPr>
            <w:r w:rsidDel="00000000" w:rsidR="00000000" w:rsidRPr="00000000">
              <w:rPr>
                <w:b w:val="1"/>
                <w:highlight w:val="white"/>
                <w:rtl w:val="0"/>
              </w:rPr>
              <w:t xml:space="preserve">$  257.069.298</w:t>
            </w:r>
            <w:r w:rsidDel="00000000" w:rsidR="00000000" w:rsidRPr="00000000">
              <w:rPr>
                <w:rtl w:val="0"/>
              </w:rPr>
            </w:r>
          </w:p>
        </w:tc>
      </w:tr>
      <w:tr>
        <w:trPr>
          <w:trHeight w:val="560" w:hRule="atLeast"/>
        </w:trPr>
        <w:tc>
          <w:tcPr/>
          <w:p w:rsidR="00000000" w:rsidDel="00000000" w:rsidP="00000000" w:rsidRDefault="00000000" w:rsidRPr="00000000" w14:paraId="00000043">
            <w:pPr>
              <w:jc w:val="both"/>
              <w:rPr>
                <w:b w:val="1"/>
                <w:highlight w:val="white"/>
              </w:rPr>
            </w:pPr>
            <w:r w:rsidDel="00000000" w:rsidR="00000000" w:rsidRPr="00000000">
              <w:rPr>
                <w:b w:val="1"/>
                <w:highlight w:val="white"/>
                <w:rtl w:val="0"/>
              </w:rPr>
              <w:t xml:space="preserve"> IAS Acumuladas</w:t>
            </w:r>
          </w:p>
        </w:tc>
        <w:tc>
          <w:tcPr>
            <w:gridSpan w:val="2"/>
          </w:tcPr>
          <w:p w:rsidR="00000000" w:rsidDel="00000000" w:rsidP="00000000" w:rsidRDefault="00000000" w:rsidRPr="00000000" w14:paraId="00000044">
            <w:pPr>
              <w:jc w:val="both"/>
              <w:rPr>
                <w:highlight w:val="white"/>
              </w:rPr>
            </w:pPr>
            <w:r w:rsidDel="00000000" w:rsidR="00000000" w:rsidRPr="00000000">
              <w:rPr>
                <w:highlight w:val="white"/>
                <w:rtl w:val="0"/>
              </w:rPr>
              <w:t xml:space="preserve">$ 16.600.000</w:t>
            </w:r>
          </w:p>
        </w:tc>
        <w:tc>
          <w:tcPr>
            <w:gridSpan w:val="2"/>
          </w:tcPr>
          <w:p w:rsidR="00000000" w:rsidDel="00000000" w:rsidP="00000000" w:rsidRDefault="00000000" w:rsidRPr="00000000" w14:paraId="00000046">
            <w:pPr>
              <w:jc w:val="both"/>
              <w:rPr>
                <w:highlight w:val="white"/>
              </w:rPr>
            </w:pPr>
            <w:r w:rsidDel="00000000" w:rsidR="00000000" w:rsidRPr="00000000">
              <w:rPr>
                <w:highlight w:val="white"/>
                <w:rtl w:val="0"/>
              </w:rPr>
              <w:t xml:space="preserve">-</w:t>
            </w:r>
          </w:p>
        </w:tc>
        <w:tc>
          <w:tcPr/>
          <w:p w:rsidR="00000000" w:rsidDel="00000000" w:rsidP="00000000" w:rsidRDefault="00000000" w:rsidRPr="00000000" w14:paraId="00000048">
            <w:pPr>
              <w:jc w:val="both"/>
              <w:rPr>
                <w:highlight w:val="white"/>
              </w:rPr>
            </w:pPr>
            <w:r w:rsidDel="00000000" w:rsidR="00000000" w:rsidRPr="00000000">
              <w:rPr>
                <w:highlight w:val="white"/>
                <w:rtl w:val="0"/>
              </w:rPr>
              <w:t xml:space="preserve">$ 16.600.000</w:t>
            </w:r>
          </w:p>
        </w:tc>
      </w:tr>
      <w:tr>
        <w:trPr>
          <w:trHeight w:val="680" w:hRule="atLeast"/>
        </w:trPr>
        <w:tc>
          <w:tcPr/>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0"/>
                <w:smallCaps w:val="0"/>
                <w:strike w:val="0"/>
                <w:color w:val="000000"/>
                <w:sz w:val="22"/>
                <w:szCs w:val="22"/>
                <w:highlight w:val="whit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Administración (garantías mas comisión de administración) </w:t>
            </w:r>
          </w:p>
        </w:tc>
        <w:tc>
          <w:tcPr>
            <w:gridSpan w:val="2"/>
          </w:tcPr>
          <w:p w:rsidR="00000000" w:rsidDel="00000000" w:rsidP="00000000" w:rsidRDefault="00000000" w:rsidRPr="00000000" w14:paraId="0000004A">
            <w:pPr>
              <w:jc w:val="both"/>
              <w:rPr>
                <w:highlight w:val="white"/>
              </w:rPr>
            </w:pPr>
            <w:r w:rsidDel="00000000" w:rsidR="00000000" w:rsidRPr="00000000">
              <w:rPr>
                <w:highlight w:val="white"/>
                <w:rtl w:val="0"/>
              </w:rPr>
              <w:t xml:space="preserve">$ 23.979.649</w:t>
            </w:r>
          </w:p>
        </w:tc>
        <w:tc>
          <w:tcPr>
            <w:gridSpan w:val="2"/>
          </w:tcPr>
          <w:p w:rsidR="00000000" w:rsidDel="00000000" w:rsidP="00000000" w:rsidRDefault="00000000" w:rsidRPr="00000000" w14:paraId="0000004C">
            <w:pPr>
              <w:jc w:val="both"/>
              <w:rPr>
                <w:highlight w:val="white"/>
              </w:rPr>
            </w:pPr>
            <w:r w:rsidDel="00000000" w:rsidR="00000000" w:rsidRPr="00000000">
              <w:rPr>
                <w:highlight w:val="white"/>
                <w:rtl w:val="0"/>
              </w:rPr>
              <w:t xml:space="preserve">-</w:t>
            </w:r>
          </w:p>
        </w:tc>
        <w:tc>
          <w:tcPr/>
          <w:p w:rsidR="00000000" w:rsidDel="00000000" w:rsidP="00000000" w:rsidRDefault="00000000" w:rsidRPr="00000000" w14:paraId="0000004E">
            <w:pPr>
              <w:jc w:val="both"/>
              <w:rPr>
                <w:highlight w:val="white"/>
              </w:rPr>
            </w:pPr>
            <w:r w:rsidDel="00000000" w:rsidR="00000000" w:rsidRPr="00000000">
              <w:rPr>
                <w:highlight w:val="white"/>
                <w:rtl w:val="0"/>
              </w:rPr>
              <w:t xml:space="preserve">$  23.979.649</w:t>
            </w:r>
          </w:p>
        </w:tc>
      </w:tr>
      <w:tr>
        <w:trPr>
          <w:trHeight w:val="540" w:hRule="atLeast"/>
        </w:trPr>
        <w:tc>
          <w:tcPr/>
          <w:p w:rsidR="00000000" w:rsidDel="00000000" w:rsidP="00000000" w:rsidRDefault="00000000" w:rsidRPr="00000000" w14:paraId="0000004F">
            <w:pPr>
              <w:jc w:val="both"/>
              <w:rPr>
                <w:b w:val="1"/>
                <w:highlight w:val="white"/>
              </w:rPr>
            </w:pPr>
            <w:r w:rsidDel="00000000" w:rsidR="00000000" w:rsidRPr="00000000">
              <w:rPr>
                <w:b w:val="1"/>
                <w:highlight w:val="white"/>
                <w:rtl w:val="0"/>
              </w:rPr>
              <w:t xml:space="preserve">Presupuesto Total sin IAS Acumuladas</w:t>
            </w:r>
          </w:p>
        </w:tc>
        <w:tc>
          <w:tcPr>
            <w:gridSpan w:val="2"/>
          </w:tcPr>
          <w:p w:rsidR="00000000" w:rsidDel="00000000" w:rsidP="00000000" w:rsidRDefault="00000000" w:rsidRPr="00000000" w14:paraId="00000050">
            <w:pPr>
              <w:jc w:val="both"/>
              <w:rPr>
                <w:b w:val="1"/>
                <w:highlight w:val="white"/>
              </w:rPr>
            </w:pPr>
            <w:r w:rsidDel="00000000" w:rsidR="00000000" w:rsidRPr="00000000">
              <w:rPr>
                <w:b w:val="1"/>
                <w:highlight w:val="white"/>
                <w:rtl w:val="0"/>
              </w:rPr>
              <w:t xml:space="preserve">$ 247.473.644</w:t>
            </w:r>
          </w:p>
        </w:tc>
        <w:tc>
          <w:tcPr>
            <w:gridSpan w:val="2"/>
          </w:tcPr>
          <w:p w:rsidR="00000000" w:rsidDel="00000000" w:rsidP="00000000" w:rsidRDefault="00000000" w:rsidRPr="00000000" w14:paraId="00000052">
            <w:pPr>
              <w:jc w:val="both"/>
              <w:rPr>
                <w:b w:val="1"/>
                <w:highlight w:val="white"/>
              </w:rPr>
            </w:pPr>
            <w:r w:rsidDel="00000000" w:rsidR="00000000" w:rsidRPr="00000000">
              <w:rPr>
                <w:b w:val="1"/>
                <w:highlight w:val="white"/>
                <w:rtl w:val="0"/>
              </w:rPr>
              <w:t xml:space="preserve">$     33.575.303 </w:t>
            </w:r>
          </w:p>
          <w:p w:rsidR="00000000" w:rsidDel="00000000" w:rsidP="00000000" w:rsidRDefault="00000000" w:rsidRPr="00000000" w14:paraId="00000053">
            <w:pPr>
              <w:jc w:val="both"/>
              <w:rPr>
                <w:highlight w:val="white"/>
              </w:rPr>
            </w:pPr>
            <w:r w:rsidDel="00000000" w:rsidR="00000000" w:rsidRPr="00000000">
              <w:rPr>
                <w:rtl w:val="0"/>
              </w:rPr>
            </w:r>
          </w:p>
        </w:tc>
        <w:tc>
          <w:tcPr/>
          <w:p w:rsidR="00000000" w:rsidDel="00000000" w:rsidP="00000000" w:rsidRDefault="00000000" w:rsidRPr="00000000" w14:paraId="00000055">
            <w:pPr>
              <w:jc w:val="both"/>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$ 281.048.947 </w:t>
            </w:r>
          </w:p>
        </w:tc>
      </w:tr>
      <w:tr>
        <w:tc>
          <w:tcPr/>
          <w:p w:rsidR="00000000" w:rsidDel="00000000" w:rsidP="00000000" w:rsidRDefault="00000000" w:rsidRPr="00000000" w14:paraId="00000056">
            <w:pPr>
              <w:jc w:val="both"/>
              <w:rPr>
                <w:b w:val="1"/>
                <w:highlight w:val="white"/>
              </w:rPr>
            </w:pPr>
            <w:r w:rsidDel="00000000" w:rsidR="00000000" w:rsidRPr="00000000">
              <w:rPr>
                <w:b w:val="1"/>
                <w:highlight w:val="white"/>
                <w:rtl w:val="0"/>
              </w:rPr>
              <w:t xml:space="preserve">Presupuesto Total (con IAS Acumuladas)</w:t>
            </w:r>
          </w:p>
        </w:tc>
        <w:tc>
          <w:tcPr>
            <w:gridSpan w:val="2"/>
          </w:tcPr>
          <w:p w:rsidR="00000000" w:rsidDel="00000000" w:rsidP="00000000" w:rsidRDefault="00000000" w:rsidRPr="00000000" w14:paraId="00000057">
            <w:pPr>
              <w:jc w:val="both"/>
              <w:rPr>
                <w:highlight w:val="yellow"/>
              </w:rPr>
            </w:pPr>
            <w:r w:rsidDel="00000000" w:rsidR="00000000" w:rsidRPr="00000000">
              <w:rPr>
                <w:rtl w:val="0"/>
              </w:rPr>
              <w:t xml:space="preserve"> $ 266.147.612 </w:t>
            </w:r>
            <w:r w:rsidDel="00000000" w:rsidR="00000000" w:rsidRPr="00000000">
              <w:rPr>
                <w:rtl w:val="0"/>
              </w:rPr>
            </w:r>
          </w:p>
        </w:tc>
        <w:tc>
          <w:tcPr>
            <w:gridSpan w:val="2"/>
          </w:tcPr>
          <w:p w:rsidR="00000000" w:rsidDel="00000000" w:rsidP="00000000" w:rsidRDefault="00000000" w:rsidRPr="00000000" w14:paraId="00000059">
            <w:pPr>
              <w:jc w:val="both"/>
              <w:rPr>
                <w:highlight w:val="yellow"/>
              </w:rPr>
            </w:pPr>
            <w:r w:rsidDel="00000000" w:rsidR="00000000" w:rsidRPr="00000000">
              <w:rPr>
                <w:rtl w:val="0"/>
              </w:rPr>
              <w:t xml:space="preserve"> $ 33.575.303 </w:t>
            </w:r>
            <w:r w:rsidDel="00000000" w:rsidR="00000000" w:rsidRPr="00000000">
              <w:rPr>
                <w:rtl w:val="0"/>
              </w:rPr>
            </w:r>
          </w:p>
        </w:tc>
        <w:tc>
          <w:tcPr/>
          <w:p w:rsidR="00000000" w:rsidDel="00000000" w:rsidP="00000000" w:rsidRDefault="00000000" w:rsidRPr="00000000" w14:paraId="0000005B">
            <w:pPr>
              <w:jc w:val="both"/>
              <w:rPr/>
            </w:pPr>
            <w:r w:rsidDel="00000000" w:rsidR="00000000" w:rsidRPr="00000000">
              <w:rPr>
                <w:rtl w:val="0"/>
              </w:rPr>
              <w:t xml:space="preserve"> $ 297.722.915 </w:t>
            </w:r>
          </w:p>
        </w:tc>
      </w:tr>
    </w:tb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adjunta planilla Excel con el detalle de las partidas presupuestarias </w:t>
      </w:r>
    </w:p>
    <w:p w:rsidR="00000000" w:rsidDel="00000000" w:rsidP="00000000" w:rsidRDefault="00000000" w:rsidRPr="00000000" w14:paraId="0000005E">
      <w:pPr>
        <w:tabs>
          <w:tab w:val="left" w:pos="7620"/>
        </w:tabs>
        <w:jc w:val="both"/>
        <w:rPr>
          <w:b w:val="1"/>
        </w:rPr>
      </w:pPr>
      <w:r w:rsidDel="00000000" w:rsidR="00000000" w:rsidRPr="00000000">
        <w:rPr>
          <w:b w:val="1"/>
          <w:rtl w:val="0"/>
        </w:rPr>
        <w:t xml:space="preserve">Para constancia firman:</w:t>
        <w:tab/>
      </w:r>
    </w:p>
    <w:p w:rsidR="00000000" w:rsidDel="00000000" w:rsidP="00000000" w:rsidRDefault="00000000" w:rsidRPr="00000000" w14:paraId="0000005F">
      <w:pPr>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tbl>
      <w:tblPr>
        <w:tblStyle w:val="Table4"/>
        <w:tblW w:w="88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63"/>
        <w:gridCol w:w="698"/>
        <w:gridCol w:w="4277"/>
        <w:tblGridChange w:id="0">
          <w:tblGrid>
            <w:gridCol w:w="3863"/>
            <w:gridCol w:w="698"/>
            <w:gridCol w:w="4277"/>
          </w:tblGrid>
        </w:tblGridChange>
      </w:tblGrid>
      <w:tr>
        <w:trPr>
          <w:trHeight w:val="180" w:hRule="atLeast"/>
        </w:trPr>
        <w:tc>
          <w:tcPr>
            <w:tcBorders>
              <w:top w:color="000000" w:space="0" w:sz="4" w:val="single"/>
            </w:tcBorders>
          </w:tcPr>
          <w:p w:rsidR="00000000" w:rsidDel="00000000" w:rsidP="00000000" w:rsidRDefault="00000000" w:rsidRPr="00000000" w14:paraId="00000062">
            <w:pPr>
              <w:jc w:val="center"/>
              <w:rPr>
                <w:b w:val="1"/>
              </w:rPr>
            </w:pPr>
            <w:r w:rsidDel="00000000" w:rsidR="00000000" w:rsidRPr="00000000">
              <w:rPr>
                <w:b w:val="1"/>
                <w:rtl w:val="0"/>
              </w:rPr>
              <w:t xml:space="preserve">DIEGO DURÁN JARA</w:t>
            </w:r>
          </w:p>
          <w:p w:rsidR="00000000" w:rsidDel="00000000" w:rsidP="00000000" w:rsidRDefault="00000000" w:rsidRPr="00000000" w14:paraId="00000063">
            <w:pPr>
              <w:jc w:val="center"/>
              <w:rPr>
                <w:b w:val="1"/>
              </w:rPr>
            </w:pPr>
            <w:r w:rsidDel="00000000" w:rsidR="00000000" w:rsidRPr="00000000">
              <w:rPr>
                <w:b w:val="1"/>
                <w:rtl w:val="0"/>
              </w:rPr>
              <w:t xml:space="preserve">RECTOR</w:t>
            </w:r>
          </w:p>
          <w:p w:rsidR="00000000" w:rsidDel="00000000" w:rsidP="00000000" w:rsidRDefault="00000000" w:rsidRPr="00000000" w14:paraId="00000064">
            <w:pPr>
              <w:jc w:val="center"/>
              <w:rPr>
                <w:b w:val="1"/>
              </w:rPr>
            </w:pPr>
            <w:r w:rsidDel="00000000" w:rsidR="00000000" w:rsidRPr="00000000">
              <w:rPr>
                <w:b w:val="1"/>
                <w:rtl w:val="0"/>
              </w:rPr>
              <w:t xml:space="preserve">UNIVERSIDAD CATÓLICA DEL MAULE</w:t>
            </w:r>
          </w:p>
        </w:tc>
        <w:tc>
          <w:tcPr/>
          <w:p w:rsidR="00000000" w:rsidDel="00000000" w:rsidP="00000000" w:rsidRDefault="00000000" w:rsidRPr="00000000" w14:paraId="00000065">
            <w:pPr>
              <w:jc w:val="center"/>
              <w:rPr>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066">
            <w:pPr>
              <w:jc w:val="center"/>
              <w:rPr>
                <w:b w:val="1"/>
              </w:rPr>
            </w:pPr>
            <w:r w:rsidDel="00000000" w:rsidR="00000000" w:rsidRPr="00000000">
              <w:rPr>
                <w:b w:val="1"/>
                <w:rtl w:val="0"/>
              </w:rPr>
              <w:t xml:space="preserve">MAURICIO ULLOA VALENZUELA</w:t>
            </w:r>
          </w:p>
          <w:p w:rsidR="00000000" w:rsidDel="00000000" w:rsidP="00000000" w:rsidRDefault="00000000" w:rsidRPr="00000000" w14:paraId="00000067">
            <w:pPr>
              <w:jc w:val="center"/>
              <w:rPr>
                <w:b w:val="1"/>
              </w:rPr>
            </w:pPr>
            <w:r w:rsidDel="00000000" w:rsidR="00000000" w:rsidRPr="00000000">
              <w:rPr>
                <w:b w:val="1"/>
                <w:rtl w:val="0"/>
              </w:rPr>
              <w:t xml:space="preserve">GERENTE DE CENTROS DE DESARROLLO DE NEGOCIOS</w:t>
            </w:r>
          </w:p>
          <w:p w:rsidR="00000000" w:rsidDel="00000000" w:rsidP="00000000" w:rsidRDefault="00000000" w:rsidRPr="00000000" w14:paraId="00000068">
            <w:pPr>
              <w:jc w:val="center"/>
              <w:rPr>
                <w:b w:val="1"/>
              </w:rPr>
            </w:pPr>
            <w:r w:rsidDel="00000000" w:rsidR="00000000" w:rsidRPr="00000000">
              <w:rPr>
                <w:b w:val="1"/>
                <w:rtl w:val="0"/>
              </w:rPr>
              <w:t xml:space="preserve">SERCOTEC</w:t>
            </w:r>
          </w:p>
        </w:tc>
      </w:tr>
    </w:tbl>
    <w:p w:rsidR="00000000" w:rsidDel="00000000" w:rsidP="00000000" w:rsidRDefault="00000000" w:rsidRPr="00000000" w14:paraId="00000069">
      <w:pPr>
        <w:jc w:val="center"/>
        <w:rPr/>
      </w:pPr>
      <w:r w:rsidDel="00000000" w:rsidR="00000000" w:rsidRPr="00000000">
        <w:rPr>
          <w:rtl w:val="0"/>
        </w:rPr>
      </w:r>
    </w:p>
    <w:sectPr>
      <w:headerReference r:id="rId6" w:type="default"/>
      <w:headerReference r:id="rId7" w:type="firs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09203" cy="765345"/>
          <wp:effectExtent b="0" l="0" r="0" t="0"/>
          <wp:docPr descr="C:\Users\pablo.barahona\Desktop\LOGO CDN.png" id="1" name="image1.png"/>
          <a:graphic>
            <a:graphicData uri="http://schemas.openxmlformats.org/drawingml/2006/picture">
              <pic:pic>
                <pic:nvPicPr>
                  <pic:cNvPr descr="C:\Users\pablo.barahona\Desktop\LOGO CDN.png" id="0" name="image1.png"/>
                  <pic:cNvPicPr preferRelativeResize="0"/>
                </pic:nvPicPr>
                <pic:blipFill>
                  <a:blip r:embed="rId1"/>
                  <a:srcRect b="0" l="0" r="0" t="0"/>
                  <a:stretch>
                    <a:fillRect/>
                  </a:stretch>
                </pic:blipFill>
                <pic:spPr>
                  <a:xfrm>
                    <a:off x="0" y="0"/>
                    <a:ext cx="1009203" cy="76534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73684" cy="53467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3684" cy="5346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